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84EAD" w14:textId="77777777" w:rsidR="008607BF" w:rsidRDefault="00023CF2" w:rsidP="00023CF2">
      <w:pPr>
        <w:pStyle w:val="Heading1"/>
        <w:ind w:left="-284"/>
      </w:pPr>
      <w:r>
        <w:t>Job description</w:t>
      </w:r>
    </w:p>
    <w:p w14:paraId="13DF1C17" w14:textId="77777777" w:rsidR="00023CF2" w:rsidRDefault="00023CF2" w:rsidP="00023CF2">
      <w:pPr>
        <w:pStyle w:val="BodyText"/>
        <w:ind w:left="-284"/>
      </w:pPr>
    </w:p>
    <w:tbl>
      <w:tblPr>
        <w:tblStyle w:val="RCStable"/>
        <w:tblW w:w="9635" w:type="dxa"/>
        <w:tblInd w:w="-284"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264"/>
        <w:gridCol w:w="7371"/>
      </w:tblGrid>
      <w:tr w:rsidR="00023CF2" w14:paraId="529FC97D" w14:textId="77777777" w:rsidTr="00E0230A">
        <w:trPr>
          <w:cnfStyle w:val="100000000000" w:firstRow="1" w:lastRow="0" w:firstColumn="0" w:lastColumn="0" w:oddVBand="0" w:evenVBand="0" w:oddHBand="0" w:evenHBand="0" w:firstRowFirstColumn="0" w:firstRowLastColumn="0" w:lastRowFirstColumn="0" w:lastRowLastColumn="0"/>
        </w:trPr>
        <w:tc>
          <w:tcPr>
            <w:tcW w:w="2264" w:type="dxa"/>
            <w:shd w:val="clear" w:color="auto" w:fill="FFFFFF" w:themeFill="background1"/>
          </w:tcPr>
          <w:p w14:paraId="71455EA4" w14:textId="77777777" w:rsidR="00023CF2" w:rsidRPr="00023CF2" w:rsidRDefault="00953B54" w:rsidP="00023CF2">
            <w:pPr>
              <w:pStyle w:val="BodyText"/>
              <w:rPr>
                <w:color w:val="323232"/>
                <w:sz w:val="24"/>
              </w:rPr>
            </w:pPr>
            <w:r>
              <w:rPr>
                <w:color w:val="323232"/>
                <w:sz w:val="24"/>
              </w:rPr>
              <w:t>Job title</w:t>
            </w:r>
            <w:r w:rsidR="00023CF2">
              <w:rPr>
                <w:color w:val="323232"/>
                <w:sz w:val="24"/>
              </w:rPr>
              <w:t>:</w:t>
            </w:r>
          </w:p>
        </w:tc>
        <w:tc>
          <w:tcPr>
            <w:tcW w:w="7371" w:type="dxa"/>
            <w:shd w:val="clear" w:color="auto" w:fill="FFFFFF" w:themeFill="background1"/>
          </w:tcPr>
          <w:p w14:paraId="0D4CB3F0" w14:textId="33D931F9" w:rsidR="00023CF2" w:rsidRPr="00F768FC" w:rsidRDefault="009E3510" w:rsidP="007D1A49">
            <w:pPr>
              <w:pStyle w:val="BodyText"/>
            </w:pPr>
            <w:r w:rsidRPr="00F768FC">
              <w:t>L</w:t>
            </w:r>
            <w:r w:rsidR="004F68B5" w:rsidRPr="00F768FC">
              <w:t xml:space="preserve">earning </w:t>
            </w:r>
            <w:r w:rsidRPr="00F768FC">
              <w:t>&amp;</w:t>
            </w:r>
            <w:r w:rsidR="004F68B5" w:rsidRPr="00F768FC">
              <w:t xml:space="preserve"> </w:t>
            </w:r>
            <w:r w:rsidR="00F450CF">
              <w:t>Engagement</w:t>
            </w:r>
            <w:r w:rsidRPr="00F768FC">
              <w:t xml:space="preserve"> </w:t>
            </w:r>
            <w:r w:rsidR="00864EBD">
              <w:t>Partner</w:t>
            </w:r>
            <w:r w:rsidR="00FA0EED">
              <w:t xml:space="preserve"> </w:t>
            </w:r>
          </w:p>
        </w:tc>
      </w:tr>
      <w:tr w:rsidR="00023CF2" w14:paraId="36022467" w14:textId="77777777" w:rsidTr="00E0230A">
        <w:trPr>
          <w:cnfStyle w:val="000000100000" w:firstRow="0" w:lastRow="0" w:firstColumn="0" w:lastColumn="0" w:oddVBand="0" w:evenVBand="0" w:oddHBand="1" w:evenHBand="0" w:firstRowFirstColumn="0" w:firstRowLastColumn="0" w:lastRowFirstColumn="0" w:lastRowLastColumn="0"/>
        </w:trPr>
        <w:tc>
          <w:tcPr>
            <w:tcW w:w="2264" w:type="dxa"/>
            <w:shd w:val="clear" w:color="auto" w:fill="D9D9D9" w:themeFill="background1" w:themeFillShade="D9"/>
          </w:tcPr>
          <w:p w14:paraId="5701AF4E" w14:textId="77777777" w:rsidR="00023CF2" w:rsidRPr="00023CF2" w:rsidRDefault="00023CF2" w:rsidP="00023CF2">
            <w:pPr>
              <w:pStyle w:val="BodyText"/>
              <w:rPr>
                <w:b/>
                <w:color w:val="323232"/>
                <w:sz w:val="24"/>
              </w:rPr>
            </w:pPr>
            <w:r w:rsidRPr="00023CF2">
              <w:rPr>
                <w:b/>
                <w:color w:val="323232"/>
                <w:sz w:val="24"/>
              </w:rPr>
              <w:t>Grade</w:t>
            </w:r>
            <w:r>
              <w:rPr>
                <w:b/>
                <w:color w:val="323232"/>
                <w:sz w:val="24"/>
              </w:rPr>
              <w:t>:</w:t>
            </w:r>
          </w:p>
        </w:tc>
        <w:tc>
          <w:tcPr>
            <w:tcW w:w="7371" w:type="dxa"/>
            <w:shd w:val="clear" w:color="auto" w:fill="D9D9D9" w:themeFill="background1" w:themeFillShade="D9"/>
          </w:tcPr>
          <w:p w14:paraId="76AF1694" w14:textId="77777777" w:rsidR="00023CF2" w:rsidRDefault="00C54853" w:rsidP="00FE2646">
            <w:pPr>
              <w:pStyle w:val="BodyText"/>
            </w:pPr>
            <w:r>
              <w:t xml:space="preserve">4b </w:t>
            </w:r>
          </w:p>
        </w:tc>
      </w:tr>
      <w:tr w:rsidR="00023CF2" w14:paraId="036B06C0" w14:textId="77777777" w:rsidTr="00E0230A">
        <w:tc>
          <w:tcPr>
            <w:tcW w:w="2264" w:type="dxa"/>
          </w:tcPr>
          <w:p w14:paraId="0B3B47FB" w14:textId="77777777" w:rsidR="00023CF2" w:rsidRPr="00023CF2" w:rsidRDefault="00023CF2" w:rsidP="00023CF2">
            <w:pPr>
              <w:pStyle w:val="BodyText"/>
              <w:rPr>
                <w:b/>
                <w:color w:val="323232"/>
                <w:sz w:val="24"/>
              </w:rPr>
            </w:pPr>
            <w:r w:rsidRPr="00023CF2">
              <w:rPr>
                <w:b/>
                <w:color w:val="323232"/>
                <w:sz w:val="24"/>
              </w:rPr>
              <w:t>Department</w:t>
            </w:r>
            <w:r>
              <w:rPr>
                <w:b/>
                <w:color w:val="323232"/>
                <w:sz w:val="24"/>
              </w:rPr>
              <w:t>:</w:t>
            </w:r>
          </w:p>
        </w:tc>
        <w:tc>
          <w:tcPr>
            <w:tcW w:w="7371" w:type="dxa"/>
          </w:tcPr>
          <w:p w14:paraId="7C452360" w14:textId="1B741EE9" w:rsidR="00023CF2" w:rsidRDefault="00F450CF" w:rsidP="00023CF2">
            <w:pPr>
              <w:pStyle w:val="BodyText"/>
            </w:pPr>
            <w:r>
              <w:t>People team</w:t>
            </w:r>
          </w:p>
        </w:tc>
      </w:tr>
      <w:tr w:rsidR="00023CF2" w14:paraId="1D7DF392" w14:textId="77777777" w:rsidTr="00E0230A">
        <w:trPr>
          <w:cnfStyle w:val="000000100000" w:firstRow="0" w:lastRow="0" w:firstColumn="0" w:lastColumn="0" w:oddVBand="0" w:evenVBand="0" w:oddHBand="1" w:evenHBand="0" w:firstRowFirstColumn="0" w:firstRowLastColumn="0" w:lastRowFirstColumn="0" w:lastRowLastColumn="0"/>
        </w:trPr>
        <w:tc>
          <w:tcPr>
            <w:tcW w:w="2264" w:type="dxa"/>
            <w:shd w:val="clear" w:color="auto" w:fill="D9D9D9" w:themeFill="background1" w:themeFillShade="D9"/>
          </w:tcPr>
          <w:p w14:paraId="3BEEA461" w14:textId="77777777" w:rsidR="00023CF2" w:rsidRPr="00023CF2" w:rsidRDefault="00023CF2" w:rsidP="00023CF2">
            <w:pPr>
              <w:pStyle w:val="BodyText"/>
              <w:rPr>
                <w:b/>
                <w:color w:val="323232"/>
                <w:sz w:val="24"/>
              </w:rPr>
            </w:pPr>
            <w:r w:rsidRPr="00023CF2">
              <w:rPr>
                <w:b/>
                <w:color w:val="323232"/>
                <w:sz w:val="24"/>
              </w:rPr>
              <w:t>Responsible for</w:t>
            </w:r>
            <w:r>
              <w:rPr>
                <w:b/>
                <w:color w:val="323232"/>
                <w:sz w:val="24"/>
              </w:rPr>
              <w:t>:</w:t>
            </w:r>
          </w:p>
        </w:tc>
        <w:tc>
          <w:tcPr>
            <w:tcW w:w="7371" w:type="dxa"/>
            <w:shd w:val="clear" w:color="auto" w:fill="D9D9D9" w:themeFill="background1" w:themeFillShade="D9"/>
          </w:tcPr>
          <w:p w14:paraId="4D24F2A8" w14:textId="50EA5971" w:rsidR="00023CF2" w:rsidRPr="00D870BB" w:rsidRDefault="001D304A" w:rsidP="00023CF2">
            <w:pPr>
              <w:pStyle w:val="BodyText"/>
            </w:pPr>
            <w:r>
              <w:t>n/a</w:t>
            </w:r>
          </w:p>
        </w:tc>
      </w:tr>
      <w:tr w:rsidR="00023CF2" w14:paraId="40596F41" w14:textId="77777777" w:rsidTr="00E0230A">
        <w:tc>
          <w:tcPr>
            <w:tcW w:w="2264" w:type="dxa"/>
            <w:shd w:val="clear" w:color="auto" w:fill="FFFFFF" w:themeFill="background1"/>
          </w:tcPr>
          <w:p w14:paraId="03F5E808" w14:textId="77777777" w:rsidR="00023CF2" w:rsidRPr="00023CF2" w:rsidRDefault="003F0007" w:rsidP="003F0007">
            <w:pPr>
              <w:pStyle w:val="BodyText"/>
              <w:rPr>
                <w:b/>
                <w:color w:val="323232"/>
                <w:sz w:val="24"/>
              </w:rPr>
            </w:pPr>
            <w:r>
              <w:rPr>
                <w:b/>
                <w:color w:val="323232"/>
                <w:sz w:val="24"/>
              </w:rPr>
              <w:t>Accountable</w:t>
            </w:r>
            <w:r w:rsidR="00023CF2" w:rsidRPr="00023CF2">
              <w:rPr>
                <w:b/>
                <w:color w:val="323232"/>
                <w:sz w:val="24"/>
              </w:rPr>
              <w:t xml:space="preserve"> to:</w:t>
            </w:r>
          </w:p>
        </w:tc>
        <w:tc>
          <w:tcPr>
            <w:tcW w:w="7371" w:type="dxa"/>
            <w:shd w:val="clear" w:color="auto" w:fill="FFFFFF" w:themeFill="background1"/>
          </w:tcPr>
          <w:p w14:paraId="0BD33308" w14:textId="5C9CE701" w:rsidR="00023CF2" w:rsidRPr="001052F2" w:rsidRDefault="002100E9" w:rsidP="00023CF2">
            <w:pPr>
              <w:pStyle w:val="BodyText"/>
              <w:rPr>
                <w:highlight w:val="yellow"/>
              </w:rPr>
            </w:pPr>
            <w:r w:rsidRPr="005B5655">
              <w:t>Culture and Experience Lead</w:t>
            </w:r>
          </w:p>
        </w:tc>
      </w:tr>
    </w:tbl>
    <w:p w14:paraId="420DF70A" w14:textId="77777777" w:rsidR="00023CF2" w:rsidRDefault="00023CF2" w:rsidP="00023CF2">
      <w:pPr>
        <w:pStyle w:val="BodyText"/>
        <w:ind w:left="-284"/>
      </w:pPr>
    </w:p>
    <w:p w14:paraId="7FFD1538" w14:textId="67F65F83" w:rsidR="00D405E6" w:rsidRPr="00147893" w:rsidRDefault="00C0723B" w:rsidP="000D5948">
      <w:pPr>
        <w:pStyle w:val="BodyText"/>
        <w:ind w:left="-284"/>
        <w:rPr>
          <w:rFonts w:eastAsiaTheme="majorEastAsia" w:cstheme="majorBidi"/>
          <w:b/>
          <w:iCs/>
          <w:color w:val="49C5B1"/>
          <w:spacing w:val="15"/>
          <w:sz w:val="24"/>
          <w:szCs w:val="24"/>
        </w:rPr>
      </w:pPr>
      <w:r w:rsidRPr="00147893">
        <w:rPr>
          <w:rFonts w:eastAsiaTheme="majorEastAsia" w:cstheme="majorBidi"/>
          <w:b/>
          <w:iCs/>
          <w:color w:val="49C5B1"/>
          <w:spacing w:val="15"/>
          <w:sz w:val="24"/>
          <w:szCs w:val="24"/>
        </w:rPr>
        <w:t>Job purpose</w:t>
      </w:r>
    </w:p>
    <w:p w14:paraId="50E84140" w14:textId="3F1D7C97" w:rsidR="002A7551" w:rsidRDefault="00B54101" w:rsidP="0039427B">
      <w:pPr>
        <w:pStyle w:val="BodyText"/>
        <w:rPr>
          <w:rFonts w:eastAsiaTheme="majorEastAsia" w:cstheme="majorBidi"/>
          <w:b/>
          <w:iCs/>
          <w:color w:val="49C5B1"/>
          <w:spacing w:val="15"/>
          <w:sz w:val="24"/>
          <w:szCs w:val="24"/>
        </w:rPr>
      </w:pPr>
      <w:r>
        <w:t>The post holder will take a leading role in shaping the College’s Learning &amp; Development (L&amp;D) offer and culture initiatives. They will drive the implementation of L&amp;D frameworks and promote a culture of continuous learning across the College. The role will also</w:t>
      </w:r>
      <w:r w:rsidR="0039427B">
        <w:t xml:space="preserve"> </w:t>
      </w:r>
      <w:r>
        <w:t>support staff engagement activity, career development and succession planning, and oversee apprenticeships, ensuring plans align to organisational priorities and build an inclusive, high-performing and engaged workforce. The post holder will anticipate future skills needs and design interventions that prepare staff for emerging challenges and opportunities.</w:t>
      </w:r>
    </w:p>
    <w:p w14:paraId="5AD8ACD8" w14:textId="77777777" w:rsidR="002A7551" w:rsidRPr="00ED097E" w:rsidRDefault="002A7551" w:rsidP="00023CF2">
      <w:pPr>
        <w:pStyle w:val="BodyText"/>
        <w:spacing w:after="0"/>
        <w:ind w:left="-284"/>
        <w:rPr>
          <w:rFonts w:eastAsiaTheme="majorEastAsia" w:cstheme="majorBidi"/>
          <w:b/>
          <w:iCs/>
          <w:color w:val="49C5B1"/>
          <w:spacing w:val="15"/>
          <w:sz w:val="24"/>
          <w:szCs w:val="24"/>
        </w:rPr>
      </w:pPr>
    </w:p>
    <w:p w14:paraId="0E5F1AAE" w14:textId="7B26EDBA" w:rsidR="00023CF2" w:rsidRDefault="00DF7685" w:rsidP="00023CF2">
      <w:pPr>
        <w:pStyle w:val="Subtitle"/>
        <w:ind w:left="-284"/>
        <w:rPr>
          <w:sz w:val="24"/>
        </w:rPr>
      </w:pPr>
      <w:r>
        <w:rPr>
          <w:sz w:val="24"/>
        </w:rPr>
        <w:t xml:space="preserve">Key </w:t>
      </w:r>
      <w:r w:rsidR="00ED097E" w:rsidRPr="00ED097E">
        <w:rPr>
          <w:sz w:val="24"/>
        </w:rPr>
        <w:t>responsibilities</w:t>
      </w:r>
    </w:p>
    <w:p w14:paraId="66CD4BCE" w14:textId="77777777" w:rsidR="00011ECF" w:rsidRDefault="00011ECF" w:rsidP="00011ECF"/>
    <w:p w14:paraId="718F4785" w14:textId="3CA60EFC" w:rsidR="00023CF2" w:rsidRPr="000D5948" w:rsidRDefault="005B5655" w:rsidP="000D5948">
      <w:pPr>
        <w:pStyle w:val="BodyText"/>
        <w:rPr>
          <w:b/>
          <w:bCs/>
        </w:rPr>
      </w:pPr>
      <w:r>
        <w:rPr>
          <w:b/>
          <w:bCs/>
        </w:rPr>
        <w:t>Learning and Development</w:t>
      </w:r>
    </w:p>
    <w:p w14:paraId="7595D503" w14:textId="77777777" w:rsidR="004B3740" w:rsidRPr="000C2411" w:rsidRDefault="004B3740" w:rsidP="00710E20">
      <w:pPr>
        <w:pStyle w:val="BodyText"/>
        <w:numPr>
          <w:ilvl w:val="0"/>
          <w:numId w:val="16"/>
        </w:numPr>
        <w:spacing w:line="256" w:lineRule="auto"/>
      </w:pPr>
      <w:r w:rsidRPr="000C2411">
        <w:t>Lead the delivery of the College’s L&amp;D plan and annual programme, translating strategic priorities into a clear roadmap and measurable outcomes.</w:t>
      </w:r>
    </w:p>
    <w:p w14:paraId="2F169EA8" w14:textId="77777777" w:rsidR="00BE4634" w:rsidRPr="00710E20" w:rsidRDefault="00BE4634" w:rsidP="00BE4634">
      <w:pPr>
        <w:pStyle w:val="BodyText"/>
        <w:numPr>
          <w:ilvl w:val="0"/>
          <w:numId w:val="16"/>
        </w:numPr>
        <w:spacing w:line="256" w:lineRule="auto"/>
      </w:pPr>
      <w:r>
        <w:t>Drive adoption and effective use of learning technologies, creating accessible learning opportunities across the organisation.</w:t>
      </w:r>
    </w:p>
    <w:p w14:paraId="417E379C" w14:textId="77777777" w:rsidR="00BE4634" w:rsidRDefault="00BE4634" w:rsidP="00BE4634">
      <w:pPr>
        <w:pStyle w:val="BodyText"/>
        <w:numPr>
          <w:ilvl w:val="0"/>
          <w:numId w:val="16"/>
        </w:numPr>
        <w:spacing w:line="256" w:lineRule="auto"/>
        <w:rPr>
          <w:kern w:val="2"/>
          <w:lang w:eastAsia="en-GB"/>
          <w14:ligatures w14:val="standardContextual"/>
        </w:rPr>
      </w:pPr>
      <w:r>
        <w:t>Conduct learning needs analysis to identify skills gaps and recommend targeted interventions to build organisational capability.</w:t>
      </w:r>
    </w:p>
    <w:p w14:paraId="4516E2E9" w14:textId="77777777" w:rsidR="00BE4634" w:rsidRDefault="00BE4634" w:rsidP="00BE4634">
      <w:pPr>
        <w:pStyle w:val="BodyText"/>
        <w:numPr>
          <w:ilvl w:val="0"/>
          <w:numId w:val="16"/>
        </w:numPr>
        <w:spacing w:line="256" w:lineRule="auto"/>
        <w:rPr>
          <w:kern w:val="2"/>
          <w:lang w:eastAsia="en-GB"/>
          <w14:ligatures w14:val="standardContextual"/>
        </w:rPr>
      </w:pPr>
      <w:r>
        <w:t>Partner with stakeholders to design and implement leadership development, career progression frameworks and talent initiatives that support employee growth and succession planning.</w:t>
      </w:r>
    </w:p>
    <w:p w14:paraId="6FFCD7AC" w14:textId="77777777" w:rsidR="00BE4634" w:rsidRDefault="00BE4634" w:rsidP="00BE4634">
      <w:pPr>
        <w:pStyle w:val="BodyText"/>
        <w:numPr>
          <w:ilvl w:val="0"/>
          <w:numId w:val="16"/>
        </w:numPr>
        <w:spacing w:line="256" w:lineRule="auto"/>
        <w:rPr>
          <w:kern w:val="2"/>
          <w:lang w:eastAsia="en-GB"/>
          <w14:ligatures w14:val="standardContextual"/>
        </w:rPr>
      </w:pPr>
      <w:r>
        <w:t>Promote a culture of continuous learning and improvement, supporting individual and team development at all levels.</w:t>
      </w:r>
    </w:p>
    <w:p w14:paraId="76D2A4CF" w14:textId="77777777" w:rsidR="00BE4634" w:rsidRPr="00693C15" w:rsidRDefault="00BE4634" w:rsidP="00693C15">
      <w:pPr>
        <w:pStyle w:val="BodyText"/>
        <w:numPr>
          <w:ilvl w:val="0"/>
          <w:numId w:val="16"/>
        </w:numPr>
        <w:spacing w:line="256" w:lineRule="auto"/>
      </w:pPr>
      <w:r>
        <w:t>Design and deliver engaging, relevant learning solutions (in-person and digital) aligned to organisational priorities and identified needs.</w:t>
      </w:r>
    </w:p>
    <w:p w14:paraId="4BEF92D7" w14:textId="77777777" w:rsidR="00B54101" w:rsidRPr="00693C15" w:rsidRDefault="00B54101" w:rsidP="00693C15">
      <w:pPr>
        <w:pStyle w:val="BodyText"/>
        <w:numPr>
          <w:ilvl w:val="0"/>
          <w:numId w:val="16"/>
        </w:numPr>
        <w:spacing w:line="256" w:lineRule="auto"/>
      </w:pPr>
      <w:r>
        <w:t>Support digital upskilling as part of the organisation’s digital transformation, working with internal stakeholders to identify needs and embed new ways of working.</w:t>
      </w:r>
    </w:p>
    <w:p w14:paraId="2C210FD6" w14:textId="77777777" w:rsidR="00BE4634" w:rsidRPr="00693C15" w:rsidRDefault="00BE4634" w:rsidP="00693C15">
      <w:pPr>
        <w:pStyle w:val="BodyText"/>
        <w:numPr>
          <w:ilvl w:val="0"/>
          <w:numId w:val="16"/>
        </w:numPr>
        <w:spacing w:line="256" w:lineRule="auto"/>
      </w:pPr>
      <w:r>
        <w:t>Identify future skills and capabilities required by the organisation and design interventions that build workforce readiness for evolving roles and technologies.</w:t>
      </w:r>
    </w:p>
    <w:p w14:paraId="4381A9E1" w14:textId="77777777" w:rsidR="000268B2" w:rsidRDefault="000268B2" w:rsidP="000D5948">
      <w:pPr>
        <w:pStyle w:val="BodyText"/>
        <w:rPr>
          <w:b/>
          <w:bCs/>
        </w:rPr>
      </w:pPr>
    </w:p>
    <w:p w14:paraId="064B46D8" w14:textId="38878EE5" w:rsidR="00EA4358" w:rsidRPr="000D5948" w:rsidRDefault="00EA4358" w:rsidP="000D5948">
      <w:pPr>
        <w:pStyle w:val="BodyText"/>
        <w:rPr>
          <w:b/>
          <w:bCs/>
        </w:rPr>
      </w:pPr>
      <w:r w:rsidRPr="000D5948">
        <w:rPr>
          <w:b/>
          <w:bCs/>
        </w:rPr>
        <w:lastRenderedPageBreak/>
        <w:t>Programme Management &amp; Evaluation</w:t>
      </w:r>
    </w:p>
    <w:p w14:paraId="54D440A6" w14:textId="77777777" w:rsidR="00BE4634" w:rsidRDefault="00BE4634" w:rsidP="00BE4634">
      <w:pPr>
        <w:pStyle w:val="BodyText"/>
        <w:numPr>
          <w:ilvl w:val="0"/>
          <w:numId w:val="16"/>
        </w:numPr>
        <w:spacing w:line="256" w:lineRule="auto"/>
        <w:rPr>
          <w:kern w:val="2"/>
          <w:lang w:eastAsia="en-GB"/>
          <w14:ligatures w14:val="standardContextual"/>
        </w:rPr>
      </w:pPr>
      <w:r>
        <w:t>Evaluate the effectiveness and impact of L&amp;D programmes using qualitative and quantitative feedback, translating insight into continuous improvement.</w:t>
      </w:r>
    </w:p>
    <w:p w14:paraId="57857582" w14:textId="77777777" w:rsidR="00BE4634" w:rsidRDefault="00BE4634" w:rsidP="00BE4634">
      <w:pPr>
        <w:pStyle w:val="BodyText"/>
        <w:numPr>
          <w:ilvl w:val="0"/>
          <w:numId w:val="16"/>
        </w:numPr>
        <w:spacing w:line="256" w:lineRule="auto"/>
        <w:rPr>
          <w:kern w:val="2"/>
          <w:lang w:eastAsia="en-GB"/>
          <w14:ligatures w14:val="standardContextual"/>
        </w:rPr>
      </w:pPr>
      <w:r>
        <w:t>Oversee the College’s apprenticeship levy and apprenticeship activity, making recommendations to optimise use and ensure alignment with organisational priorities.</w:t>
      </w:r>
    </w:p>
    <w:p w14:paraId="0C47F68F" w14:textId="77777777" w:rsidR="00BE4634" w:rsidRDefault="00BE4634" w:rsidP="00BE4634">
      <w:pPr>
        <w:pStyle w:val="BodyText"/>
        <w:numPr>
          <w:ilvl w:val="0"/>
          <w:numId w:val="16"/>
        </w:numPr>
        <w:spacing w:line="256" w:lineRule="auto"/>
        <w:rPr>
          <w:kern w:val="2"/>
          <w:lang w:eastAsia="en-GB"/>
          <w14:ligatures w14:val="standardContextual"/>
        </w:rPr>
      </w:pPr>
      <w:r>
        <w:t>Communicate L&amp;D opportunities clearly and consistently across the organisation to increase staff and manager awareness and participation.</w:t>
      </w:r>
    </w:p>
    <w:p w14:paraId="0C215632" w14:textId="77777777" w:rsidR="00BE4634" w:rsidRDefault="00BE4634" w:rsidP="00BE4634">
      <w:pPr>
        <w:pStyle w:val="BodyText"/>
        <w:numPr>
          <w:ilvl w:val="0"/>
          <w:numId w:val="16"/>
        </w:numPr>
        <w:spacing w:line="256" w:lineRule="auto"/>
        <w:rPr>
          <w:kern w:val="2"/>
          <w:lang w:eastAsia="en-GB"/>
          <w14:ligatures w14:val="standardContextual"/>
        </w:rPr>
      </w:pPr>
      <w:r>
        <w:t>Manage core L&amp;D administration (e.g., organising courses, scheduling sessions, issuing and reviewing evaluations, and maintaining learning records) to support effective delivery and reporting.</w:t>
      </w:r>
    </w:p>
    <w:p w14:paraId="1063AF44" w14:textId="09BAF8EC" w:rsidR="002A4842" w:rsidRPr="000D5948" w:rsidRDefault="002A4842" w:rsidP="000D5948">
      <w:pPr>
        <w:pStyle w:val="BodyText"/>
        <w:rPr>
          <w:b/>
          <w:bCs/>
        </w:rPr>
      </w:pPr>
      <w:r w:rsidRPr="000D5948">
        <w:rPr>
          <w:b/>
          <w:bCs/>
        </w:rPr>
        <w:t>Engagement &amp; Culture</w:t>
      </w:r>
    </w:p>
    <w:p w14:paraId="537A9EFA" w14:textId="77777777" w:rsidR="00485E11" w:rsidRPr="00485E11" w:rsidRDefault="00485E11" w:rsidP="00485E11">
      <w:pPr>
        <w:pStyle w:val="BodyText"/>
        <w:numPr>
          <w:ilvl w:val="0"/>
          <w:numId w:val="16"/>
        </w:numPr>
        <w:spacing w:line="256" w:lineRule="auto"/>
      </w:pPr>
      <w:r w:rsidRPr="00485E11">
        <w:t>Partner with the Culture and Experience Lead to plan, deliver and evaluate staff engagement activity that strengthens an inclusive and collaborative culture.</w:t>
      </w:r>
    </w:p>
    <w:p w14:paraId="716FF8F8" w14:textId="776B98F2" w:rsidR="00BE4634" w:rsidRDefault="00FA221B" w:rsidP="00BE4634">
      <w:pPr>
        <w:pStyle w:val="BodyText"/>
        <w:numPr>
          <w:ilvl w:val="0"/>
          <w:numId w:val="16"/>
        </w:numPr>
        <w:spacing w:line="256" w:lineRule="auto"/>
        <w:rPr>
          <w:kern w:val="2"/>
          <w:lang w:eastAsia="en-GB"/>
          <w14:ligatures w14:val="standardContextual"/>
        </w:rPr>
      </w:pPr>
      <w:r>
        <w:t>Drive</w:t>
      </w:r>
      <w:r w:rsidR="00BE4634">
        <w:t xml:space="preserve"> initiatives that promote wellbeing, recognition and belonging, working collaboratively with colleagues across the organisation.</w:t>
      </w:r>
    </w:p>
    <w:p w14:paraId="265C1435" w14:textId="4E1F5F35" w:rsidR="00B54101" w:rsidRDefault="00636097" w:rsidP="00BE4634">
      <w:pPr>
        <w:pStyle w:val="BodyText"/>
        <w:numPr>
          <w:ilvl w:val="0"/>
          <w:numId w:val="16"/>
        </w:numPr>
        <w:spacing w:line="256" w:lineRule="auto"/>
        <w:rPr>
          <w:kern w:val="2"/>
          <w:lang w:eastAsia="en-GB"/>
          <w14:ligatures w14:val="standardContextual"/>
        </w:rPr>
      </w:pPr>
      <w:r w:rsidRPr="00485E11">
        <w:t xml:space="preserve">Partner with the Culture and Experience Lead to </w:t>
      </w:r>
      <w:r>
        <w:t xml:space="preserve">deliver </w:t>
      </w:r>
      <w:r w:rsidR="00B54101">
        <w:t>staff listening activity (e.g., surveys, focus groups) and analyse themes to inform engagement and development priorities, sharing insight with the Culture and Experience lead.</w:t>
      </w:r>
    </w:p>
    <w:p w14:paraId="357FF41F" w14:textId="36327465" w:rsidR="00B54101" w:rsidRPr="00C921D1" w:rsidRDefault="00636097" w:rsidP="00490D7F">
      <w:pPr>
        <w:pStyle w:val="BodyText"/>
        <w:numPr>
          <w:ilvl w:val="0"/>
          <w:numId w:val="16"/>
        </w:numPr>
        <w:spacing w:after="0" w:line="256" w:lineRule="auto"/>
        <w:rPr>
          <w:kern w:val="2"/>
          <w:lang w:eastAsia="en-GB"/>
          <w14:ligatures w14:val="standardContextual"/>
        </w:rPr>
      </w:pPr>
      <w:r>
        <w:t>Manage</w:t>
      </w:r>
      <w:r w:rsidR="00B54101">
        <w:t xml:space="preserve"> the performance review process and make suggestions to improve the overall employee experience and effectiveness. Coach and advise managers to ensure objectives align with the College’s values and strategic </w:t>
      </w:r>
      <w:proofErr w:type="gramStart"/>
      <w:r w:rsidR="00B54101">
        <w:t>aims, and</w:t>
      </w:r>
      <w:proofErr w:type="gramEnd"/>
      <w:r w:rsidR="00B54101">
        <w:t xml:space="preserve"> recommend improvements to strengthen employee experience and process effectiveness.</w:t>
      </w:r>
    </w:p>
    <w:p w14:paraId="1D2D2DB0" w14:textId="77777777" w:rsidR="00C921D1" w:rsidRDefault="00C921D1" w:rsidP="00C921D1">
      <w:pPr>
        <w:pStyle w:val="BodyText"/>
        <w:spacing w:after="0" w:line="256" w:lineRule="auto"/>
      </w:pPr>
    </w:p>
    <w:p w14:paraId="08623E92" w14:textId="77777777" w:rsidR="00C921D1" w:rsidRDefault="00C921D1" w:rsidP="00C921D1">
      <w:pPr>
        <w:pStyle w:val="Subtitle"/>
        <w:ind w:left="-284"/>
        <w:rPr>
          <w:sz w:val="24"/>
        </w:rPr>
      </w:pPr>
      <w:r w:rsidRPr="00D6315F">
        <w:rPr>
          <w:sz w:val="24"/>
        </w:rPr>
        <w:t>Success Measures</w:t>
      </w:r>
    </w:p>
    <w:p w14:paraId="39D3AB5F" w14:textId="77777777" w:rsidR="00C921D1" w:rsidRDefault="00C921D1" w:rsidP="00C921D1">
      <w:pPr>
        <w:pStyle w:val="BodyText"/>
        <w:spacing w:after="0" w:line="256" w:lineRule="auto"/>
      </w:pPr>
    </w:p>
    <w:p w14:paraId="01C5B8AF" w14:textId="77777777" w:rsidR="00C921D1" w:rsidRPr="00C921D1" w:rsidRDefault="00C921D1" w:rsidP="00C921D1">
      <w:pPr>
        <w:pStyle w:val="BodyText"/>
        <w:numPr>
          <w:ilvl w:val="0"/>
          <w:numId w:val="36"/>
        </w:numPr>
      </w:pPr>
      <w:r>
        <w:t>Clear delivery of the L&amp;D plan and engagement priorities, with evidence of impact.</w:t>
      </w:r>
    </w:p>
    <w:p w14:paraId="1A5375DF" w14:textId="0356E2A2" w:rsidR="00C921D1" w:rsidRDefault="00C921D1" w:rsidP="00C921D1">
      <w:pPr>
        <w:pStyle w:val="BodyText"/>
        <w:numPr>
          <w:ilvl w:val="0"/>
          <w:numId w:val="36"/>
        </w:numPr>
        <w:spacing w:after="0" w:line="256" w:lineRule="auto"/>
        <w:rPr>
          <w:kern w:val="2"/>
          <w:lang w:eastAsia="en-GB"/>
          <w14:ligatures w14:val="standardContextual"/>
        </w:rPr>
      </w:pPr>
      <w:r>
        <w:t>Improved staff engagement and development feedback, and positive movement in retention-related indicators.</w:t>
      </w:r>
    </w:p>
    <w:p w14:paraId="76A4CDC1" w14:textId="77777777" w:rsidR="00C921D1" w:rsidRDefault="00C921D1" w:rsidP="00C921D1">
      <w:pPr>
        <w:pStyle w:val="BodyText"/>
        <w:numPr>
          <w:ilvl w:val="0"/>
          <w:numId w:val="36"/>
        </w:numPr>
      </w:pPr>
      <w:r>
        <w:t>Effective rollout and adoption of learning technologies and digital upskilling activity.</w:t>
      </w:r>
    </w:p>
    <w:p w14:paraId="46AC9096" w14:textId="081A6F3A" w:rsidR="00C921D1" w:rsidRDefault="00C921D1" w:rsidP="00C921D1">
      <w:pPr>
        <w:pStyle w:val="BodyText"/>
        <w:numPr>
          <w:ilvl w:val="0"/>
          <w:numId w:val="36"/>
        </w:numPr>
      </w:pPr>
      <w:r>
        <w:t>Skills gaps are identified and addressed through targeted, prioritised interventions</w:t>
      </w:r>
      <w:r>
        <w:t>.</w:t>
      </w:r>
    </w:p>
    <w:p w14:paraId="5E276930" w14:textId="77777777" w:rsidR="00C921D1" w:rsidRPr="00C921D1" w:rsidRDefault="00C921D1" w:rsidP="00C921D1">
      <w:pPr>
        <w:pStyle w:val="BodyText"/>
        <w:numPr>
          <w:ilvl w:val="0"/>
          <w:numId w:val="36"/>
        </w:numPr>
      </w:pPr>
      <w:r>
        <w:t>Strong participation in development programmes and positive learner satisfaction/feedback.</w:t>
      </w:r>
    </w:p>
    <w:p w14:paraId="7336734B" w14:textId="5C2F9A73" w:rsidR="00C921D1" w:rsidRPr="00C921D1" w:rsidRDefault="00C921D1" w:rsidP="00C921D1">
      <w:pPr>
        <w:pStyle w:val="BodyText"/>
        <w:numPr>
          <w:ilvl w:val="0"/>
          <w:numId w:val="36"/>
        </w:numPr>
      </w:pPr>
      <w:r>
        <w:t>Positive stakeholder feedback on the quality of L&amp;D partnering, engagement support and responsiveness.</w:t>
      </w:r>
    </w:p>
    <w:p w14:paraId="6E61F19E" w14:textId="77777777" w:rsidR="00894537" w:rsidRDefault="00894537" w:rsidP="00894537"/>
    <w:p w14:paraId="2C1C57F2" w14:textId="5EE24182" w:rsidR="00825304" w:rsidRPr="007A4A89" w:rsidRDefault="00894537" w:rsidP="007A4A89">
      <w:pPr>
        <w:pStyle w:val="Subtitle"/>
        <w:ind w:left="-284"/>
        <w:rPr>
          <w:sz w:val="24"/>
        </w:rPr>
      </w:pPr>
      <w:r w:rsidRPr="000E65EC">
        <w:rPr>
          <w:sz w:val="24"/>
        </w:rPr>
        <w:t>Key Behaviours</w:t>
      </w:r>
    </w:p>
    <w:p w14:paraId="7DEABC5F" w14:textId="77777777" w:rsidR="00825304" w:rsidRPr="008F367E" w:rsidRDefault="00825304" w:rsidP="008F367E">
      <w:pPr>
        <w:pStyle w:val="BodyText"/>
        <w:numPr>
          <w:ilvl w:val="0"/>
          <w:numId w:val="17"/>
        </w:numPr>
        <w:tabs>
          <w:tab w:val="num" w:pos="720"/>
        </w:tabs>
        <w:rPr>
          <w:rFonts w:cs="Arial"/>
        </w:rPr>
      </w:pPr>
      <w:r w:rsidRPr="008F367E">
        <w:rPr>
          <w:rFonts w:cs="Arial"/>
        </w:rPr>
        <w:t>Shapes and communicates a compelling vision for learning, development, and engagement.</w:t>
      </w:r>
    </w:p>
    <w:p w14:paraId="3149881E" w14:textId="77777777" w:rsidR="00825304" w:rsidRPr="008F367E" w:rsidRDefault="00825304" w:rsidP="008F367E">
      <w:pPr>
        <w:pStyle w:val="BodyText"/>
        <w:numPr>
          <w:ilvl w:val="0"/>
          <w:numId w:val="17"/>
        </w:numPr>
        <w:tabs>
          <w:tab w:val="num" w:pos="720"/>
        </w:tabs>
        <w:rPr>
          <w:rFonts w:cs="Arial"/>
        </w:rPr>
      </w:pPr>
      <w:r w:rsidRPr="008F367E">
        <w:rPr>
          <w:rFonts w:cs="Arial"/>
        </w:rPr>
        <w:t>Leads inclusively, building strong relationships and fostering collaboration.</w:t>
      </w:r>
    </w:p>
    <w:p w14:paraId="6CF7A742" w14:textId="1FB19EE9" w:rsidR="00966188" w:rsidRDefault="004211AD" w:rsidP="008F367E">
      <w:pPr>
        <w:pStyle w:val="BodyText"/>
        <w:numPr>
          <w:ilvl w:val="0"/>
          <w:numId w:val="17"/>
        </w:numPr>
        <w:tabs>
          <w:tab w:val="num" w:pos="720"/>
        </w:tabs>
        <w:rPr>
          <w:rFonts w:cs="Arial"/>
        </w:rPr>
      </w:pPr>
      <w:r>
        <w:rPr>
          <w:rFonts w:cs="Arial"/>
        </w:rPr>
        <w:t>C</w:t>
      </w:r>
      <w:r w:rsidR="00825304" w:rsidRPr="008F367E">
        <w:rPr>
          <w:rFonts w:cs="Arial"/>
        </w:rPr>
        <w:t>hampions innovation in L&amp;D and engagement.</w:t>
      </w:r>
    </w:p>
    <w:p w14:paraId="07B55703" w14:textId="77777777" w:rsidR="00AD3CD8" w:rsidRDefault="00AD3CD8" w:rsidP="00AD3CD8">
      <w:pPr>
        <w:pStyle w:val="BodyText"/>
        <w:tabs>
          <w:tab w:val="num" w:pos="720"/>
        </w:tabs>
        <w:rPr>
          <w:rFonts w:cs="Arial"/>
        </w:rPr>
      </w:pPr>
    </w:p>
    <w:p w14:paraId="3C48F0E8" w14:textId="77777777" w:rsidR="00AD3CD8" w:rsidRDefault="00AD3CD8" w:rsidP="00AD3CD8">
      <w:pPr>
        <w:pStyle w:val="BodyText"/>
        <w:tabs>
          <w:tab w:val="num" w:pos="720"/>
        </w:tabs>
        <w:rPr>
          <w:rFonts w:cs="Arial"/>
        </w:rPr>
      </w:pPr>
    </w:p>
    <w:p w14:paraId="02365E32" w14:textId="636E1C8E" w:rsidR="00825304" w:rsidRPr="00FB0AF3" w:rsidRDefault="00825304" w:rsidP="0012282D">
      <w:pPr>
        <w:pStyle w:val="BodyText"/>
        <w:numPr>
          <w:ilvl w:val="0"/>
          <w:numId w:val="17"/>
        </w:numPr>
        <w:tabs>
          <w:tab w:val="num" w:pos="720"/>
        </w:tabs>
        <w:rPr>
          <w:rFonts w:cs="Arial"/>
        </w:rPr>
      </w:pPr>
      <w:r w:rsidRPr="00FB0AF3">
        <w:rPr>
          <w:rFonts w:cs="Arial"/>
        </w:rPr>
        <w:t>Models and fosters a culture of customer service and continuous improvement.</w:t>
      </w:r>
    </w:p>
    <w:p w14:paraId="7AC85E15" w14:textId="77777777" w:rsidR="00825304" w:rsidRPr="00BF20A2" w:rsidRDefault="00825304" w:rsidP="008F367E">
      <w:pPr>
        <w:pStyle w:val="BodyText"/>
        <w:numPr>
          <w:ilvl w:val="0"/>
          <w:numId w:val="17"/>
        </w:numPr>
        <w:tabs>
          <w:tab w:val="num" w:pos="720"/>
        </w:tabs>
        <w:rPr>
          <w:rFonts w:cs="Arial"/>
        </w:rPr>
      </w:pPr>
      <w:r w:rsidRPr="00BF20A2">
        <w:rPr>
          <w:rFonts w:cs="Arial"/>
        </w:rPr>
        <w:t>Demonstrates flexibility, curiosity, and a commitment to ongoing development.</w:t>
      </w:r>
    </w:p>
    <w:p w14:paraId="699841DA" w14:textId="2EB3B200" w:rsidR="007824F5" w:rsidRPr="00F23E2E" w:rsidRDefault="00825304" w:rsidP="0012282D">
      <w:pPr>
        <w:pStyle w:val="BodyText"/>
        <w:numPr>
          <w:ilvl w:val="0"/>
          <w:numId w:val="17"/>
        </w:numPr>
        <w:tabs>
          <w:tab w:val="num" w:pos="720"/>
        </w:tabs>
        <w:spacing w:line="300" w:lineRule="atLeast"/>
      </w:pPr>
      <w:r w:rsidRPr="00FB0AF3">
        <w:rPr>
          <w:rFonts w:cs="Arial"/>
        </w:rPr>
        <w:t>Inspires confidence and respect at all levels, adapting style to suit the audience.</w:t>
      </w:r>
    </w:p>
    <w:p w14:paraId="70797CA2" w14:textId="687EB4AE" w:rsidR="00F23E2E" w:rsidRDefault="00F23E2E" w:rsidP="0012282D">
      <w:pPr>
        <w:pStyle w:val="ListParagraph"/>
        <w:numPr>
          <w:ilvl w:val="0"/>
          <w:numId w:val="17"/>
        </w:numPr>
        <w:tabs>
          <w:tab w:val="num" w:pos="720"/>
        </w:tabs>
        <w:spacing w:line="300" w:lineRule="atLeast"/>
      </w:pPr>
      <w:r w:rsidRPr="00F23E2E">
        <w:rPr>
          <w:rFonts w:cs="Arial"/>
        </w:rPr>
        <w:t>Proactively seeks out and implements new learning technologies, tools, and practices to ensure L&amp;D remains current, engaging, and effective.</w:t>
      </w:r>
    </w:p>
    <w:p w14:paraId="461CBF22" w14:textId="77777777" w:rsidR="003C14C5" w:rsidRDefault="003C14C5" w:rsidP="003C14C5">
      <w:pPr>
        <w:pStyle w:val="ListParagraph"/>
        <w:spacing w:line="300" w:lineRule="atLeast"/>
      </w:pPr>
    </w:p>
    <w:p w14:paraId="5A30336E" w14:textId="77777777" w:rsidR="00AA187F" w:rsidRPr="00023CF2" w:rsidRDefault="00AA187F" w:rsidP="00AA187F">
      <w:pPr>
        <w:pStyle w:val="BodyText"/>
        <w:ind w:left="-284"/>
        <w:jc w:val="both"/>
        <w:rPr>
          <w:b/>
          <w:color w:val="323232"/>
          <w:sz w:val="20"/>
          <w:szCs w:val="20"/>
        </w:rPr>
      </w:pPr>
      <w:r w:rsidRPr="00017C14">
        <w:rPr>
          <w:b/>
          <w:color w:val="323232"/>
          <w:sz w:val="20"/>
          <w:szCs w:val="20"/>
        </w:rPr>
        <w:t>This job description is intended as a dynamic framework to guide the main responsibilities and expectations of the role. As our organisation evolves, the scope of this role may adapt to meet changing needs and priorities. Flexibility, a willingness to take on new challenges, and a commitment to ongoing development are essential. The duties outlined here are not exhaustive; the post holder may be asked to take on additional responsibilities as required, in line with the evolving nature of the role and the organisation.</w:t>
      </w:r>
    </w:p>
    <w:p w14:paraId="6E4CD161" w14:textId="77777777" w:rsidR="00023CF2" w:rsidRDefault="00023CF2" w:rsidP="00023CF2">
      <w:pPr>
        <w:pStyle w:val="BodyText"/>
        <w:ind w:left="-284"/>
        <w:rPr>
          <w:b/>
          <w:color w:val="323232"/>
          <w:sz w:val="20"/>
          <w:szCs w:val="20"/>
        </w:rPr>
      </w:pPr>
    </w:p>
    <w:p w14:paraId="75B9FA0E" w14:textId="13F1F3BD" w:rsidR="007B1915" w:rsidRPr="00023CF2" w:rsidRDefault="00C921D1" w:rsidP="00023CF2">
      <w:pPr>
        <w:pStyle w:val="BodyText"/>
        <w:ind w:left="-284"/>
        <w:rPr>
          <w:b/>
          <w:color w:val="323232"/>
          <w:sz w:val="20"/>
          <w:szCs w:val="20"/>
        </w:rPr>
      </w:pPr>
      <w:r>
        <w:rPr>
          <w:b/>
          <w:color w:val="323232"/>
          <w:sz w:val="20"/>
          <w:szCs w:val="20"/>
        </w:rPr>
        <w:t>April</w:t>
      </w:r>
      <w:r w:rsidR="007B1915">
        <w:rPr>
          <w:b/>
          <w:color w:val="323232"/>
          <w:sz w:val="20"/>
          <w:szCs w:val="20"/>
        </w:rPr>
        <w:t xml:space="preserve"> 2026</w:t>
      </w:r>
    </w:p>
    <w:p w14:paraId="38821D17" w14:textId="77777777" w:rsidR="00023CF2" w:rsidRDefault="00E41F66" w:rsidP="00023CF2">
      <w:pPr>
        <w:pStyle w:val="Heading1"/>
        <w:ind w:left="-284"/>
      </w:pPr>
      <w:r>
        <w:t>P</w:t>
      </w:r>
      <w:r w:rsidR="00023CF2">
        <w:t>erson specification</w:t>
      </w:r>
    </w:p>
    <w:p w14:paraId="72A2C36F" w14:textId="77777777" w:rsidR="00023CF2" w:rsidRDefault="00023CF2" w:rsidP="00E75E94">
      <w:pPr>
        <w:pStyle w:val="BodyText"/>
        <w:spacing w:after="0"/>
        <w:rPr>
          <w:b/>
          <w:color w:val="323232"/>
          <w:sz w:val="20"/>
          <w:szCs w:val="20"/>
        </w:rPr>
      </w:pPr>
    </w:p>
    <w:p w14:paraId="69306F7C" w14:textId="77777777" w:rsidR="0053490E" w:rsidRDefault="0053490E" w:rsidP="00E75E94">
      <w:pPr>
        <w:rPr>
          <w:b/>
          <w:sz w:val="24"/>
        </w:rPr>
      </w:pPr>
    </w:p>
    <w:tbl>
      <w:tblPr>
        <w:tblStyle w:val="RCStable"/>
        <w:tblW w:w="0" w:type="auto"/>
        <w:tblInd w:w="-284"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264"/>
        <w:gridCol w:w="3402"/>
        <w:gridCol w:w="3350"/>
      </w:tblGrid>
      <w:tr w:rsidR="00837F78" w14:paraId="294882AD" w14:textId="77777777" w:rsidTr="007666E3">
        <w:trPr>
          <w:cnfStyle w:val="100000000000" w:firstRow="1" w:lastRow="0" w:firstColumn="0" w:lastColumn="0" w:oddVBand="0" w:evenVBand="0" w:oddHBand="0" w:evenHBand="0" w:firstRowFirstColumn="0" w:firstRowLastColumn="0" w:lastRowFirstColumn="0" w:lastRowLastColumn="0"/>
          <w:trHeight w:val="775"/>
        </w:trPr>
        <w:tc>
          <w:tcPr>
            <w:tcW w:w="2264" w:type="dxa"/>
          </w:tcPr>
          <w:p w14:paraId="0231D320" w14:textId="77777777" w:rsidR="00837F78" w:rsidRDefault="00837F78" w:rsidP="0053490E">
            <w:pPr>
              <w:rPr>
                <w:b w:val="0"/>
                <w:sz w:val="24"/>
              </w:rPr>
            </w:pPr>
          </w:p>
        </w:tc>
        <w:tc>
          <w:tcPr>
            <w:tcW w:w="3402" w:type="dxa"/>
          </w:tcPr>
          <w:p w14:paraId="4C7D1564" w14:textId="77777777" w:rsidR="00837F78" w:rsidRPr="00525E74" w:rsidRDefault="00837F78" w:rsidP="0053490E">
            <w:pPr>
              <w:rPr>
                <w:sz w:val="24"/>
              </w:rPr>
            </w:pPr>
            <w:r w:rsidRPr="00525E74">
              <w:rPr>
                <w:sz w:val="24"/>
              </w:rPr>
              <w:t xml:space="preserve">Essential </w:t>
            </w:r>
          </w:p>
        </w:tc>
        <w:tc>
          <w:tcPr>
            <w:tcW w:w="3350" w:type="dxa"/>
          </w:tcPr>
          <w:p w14:paraId="75AA81F5" w14:textId="77777777" w:rsidR="00837F78" w:rsidRPr="00525E74" w:rsidRDefault="00837F78" w:rsidP="0053490E">
            <w:pPr>
              <w:rPr>
                <w:sz w:val="24"/>
              </w:rPr>
            </w:pPr>
            <w:r w:rsidRPr="00525E74">
              <w:rPr>
                <w:sz w:val="24"/>
              </w:rPr>
              <w:t xml:space="preserve">Desirable </w:t>
            </w:r>
          </w:p>
        </w:tc>
      </w:tr>
      <w:tr w:rsidR="00837F78" w14:paraId="18E160E8" w14:textId="77777777" w:rsidTr="007666E3">
        <w:trPr>
          <w:cnfStyle w:val="000000100000" w:firstRow="0" w:lastRow="0" w:firstColumn="0" w:lastColumn="0" w:oddVBand="0" w:evenVBand="0" w:oddHBand="1" w:evenHBand="0" w:firstRowFirstColumn="0" w:firstRowLastColumn="0" w:lastRowFirstColumn="0" w:lastRowLastColumn="0"/>
          <w:trHeight w:val="1758"/>
        </w:trPr>
        <w:tc>
          <w:tcPr>
            <w:tcW w:w="2264" w:type="dxa"/>
            <w:vAlign w:val="top"/>
          </w:tcPr>
          <w:p w14:paraId="5DC9E543" w14:textId="77777777" w:rsidR="00837F78" w:rsidRPr="00953B54" w:rsidRDefault="00837F78" w:rsidP="00837F78">
            <w:pPr>
              <w:rPr>
                <w:b/>
                <w:color w:val="49C5B1"/>
                <w:szCs w:val="24"/>
              </w:rPr>
            </w:pPr>
            <w:r w:rsidRPr="00953B54">
              <w:rPr>
                <w:b/>
                <w:color w:val="49C5B1"/>
                <w:szCs w:val="24"/>
              </w:rPr>
              <w:t>Qualifications</w:t>
            </w:r>
          </w:p>
          <w:p w14:paraId="256D20F2" w14:textId="77777777" w:rsidR="00837F78" w:rsidRPr="00953B54" w:rsidRDefault="00837F78" w:rsidP="00837F78">
            <w:pPr>
              <w:rPr>
                <w:b/>
                <w:color w:val="49C5B1"/>
                <w:szCs w:val="24"/>
              </w:rPr>
            </w:pPr>
          </w:p>
          <w:p w14:paraId="6695A314" w14:textId="77777777" w:rsidR="00837F78" w:rsidRPr="00953B54" w:rsidRDefault="00837F78" w:rsidP="00837F78">
            <w:pPr>
              <w:rPr>
                <w:b/>
                <w:color w:val="49C5B1"/>
                <w:szCs w:val="24"/>
              </w:rPr>
            </w:pPr>
          </w:p>
        </w:tc>
        <w:tc>
          <w:tcPr>
            <w:tcW w:w="3402" w:type="dxa"/>
            <w:vAlign w:val="top"/>
          </w:tcPr>
          <w:p w14:paraId="069876BA" w14:textId="77777777" w:rsidR="006406B4" w:rsidRPr="006406B4" w:rsidRDefault="006406B4" w:rsidP="006406B4">
            <w:pPr>
              <w:pStyle w:val="ListParagraph"/>
              <w:numPr>
                <w:ilvl w:val="0"/>
                <w:numId w:val="11"/>
              </w:numPr>
              <w:rPr>
                <w:i/>
                <w:color w:val="323232"/>
              </w:rPr>
            </w:pPr>
            <w:r w:rsidRPr="006406B4">
              <w:rPr>
                <w:i/>
                <w:color w:val="323232"/>
              </w:rPr>
              <w:t xml:space="preserve">Professional qualification in L&amp;D/OD/HR (e.g., CIPD) </w:t>
            </w:r>
            <w:r w:rsidRPr="006406B4">
              <w:rPr>
                <w:b/>
                <w:bCs/>
                <w:i/>
                <w:color w:val="323232"/>
              </w:rPr>
              <w:t>or</w:t>
            </w:r>
            <w:r w:rsidRPr="006406B4">
              <w:rPr>
                <w:i/>
                <w:color w:val="323232"/>
              </w:rPr>
              <w:t xml:space="preserve"> equivalent significant experience in a learning-focused role.</w:t>
            </w:r>
          </w:p>
          <w:p w14:paraId="159E14D4" w14:textId="2544A214" w:rsidR="00837F78" w:rsidRPr="0075059B" w:rsidRDefault="00837F78" w:rsidP="00CA7D76">
            <w:pPr>
              <w:pStyle w:val="ListParagraph"/>
              <w:ind w:left="360"/>
              <w:rPr>
                <w:i/>
                <w:color w:val="323232"/>
              </w:rPr>
            </w:pPr>
          </w:p>
        </w:tc>
        <w:tc>
          <w:tcPr>
            <w:tcW w:w="3350" w:type="dxa"/>
            <w:vAlign w:val="top"/>
          </w:tcPr>
          <w:p w14:paraId="3BE2C34E" w14:textId="77777777" w:rsidR="0087763E" w:rsidRPr="00623CE5" w:rsidRDefault="0087763E" w:rsidP="0087763E">
            <w:pPr>
              <w:pStyle w:val="ListParagraph"/>
              <w:numPr>
                <w:ilvl w:val="0"/>
                <w:numId w:val="11"/>
              </w:numPr>
              <w:rPr>
                <w:i/>
                <w:color w:val="323232"/>
              </w:rPr>
            </w:pPr>
            <w:r w:rsidRPr="0087763E">
              <w:rPr>
                <w:i/>
                <w:color w:val="323232"/>
              </w:rPr>
              <w:t xml:space="preserve">Coaching qualification </w:t>
            </w:r>
            <w:r w:rsidRPr="0087763E">
              <w:rPr>
                <w:b/>
                <w:bCs/>
                <w:i/>
                <w:color w:val="323232"/>
              </w:rPr>
              <w:t>or</w:t>
            </w:r>
            <w:r w:rsidRPr="0087763E">
              <w:rPr>
                <w:i/>
                <w:color w:val="323232"/>
              </w:rPr>
              <w:t xml:space="preserve"> demonstrable coaching experience/skills.</w:t>
            </w:r>
          </w:p>
          <w:p w14:paraId="11389CDF" w14:textId="77777777" w:rsidR="0056203E" w:rsidRPr="0087763E" w:rsidRDefault="0056203E" w:rsidP="0056203E">
            <w:pPr>
              <w:pStyle w:val="ListParagraph"/>
              <w:ind w:left="360"/>
              <w:rPr>
                <w:i/>
                <w:color w:val="323232"/>
              </w:rPr>
            </w:pPr>
          </w:p>
          <w:p w14:paraId="2F4C3030" w14:textId="426CA9F8" w:rsidR="00716AAF" w:rsidRPr="00623CE5" w:rsidRDefault="0087763E" w:rsidP="00623CE5">
            <w:pPr>
              <w:pStyle w:val="ListParagraph"/>
              <w:numPr>
                <w:ilvl w:val="0"/>
                <w:numId w:val="11"/>
              </w:numPr>
              <w:rPr>
                <w:i/>
                <w:color w:val="323232"/>
              </w:rPr>
            </w:pPr>
            <w:r w:rsidRPr="0087763E">
              <w:rPr>
                <w:i/>
                <w:color w:val="323232"/>
              </w:rPr>
              <w:t>Accredited facilitation qualification</w:t>
            </w:r>
          </w:p>
        </w:tc>
      </w:tr>
      <w:tr w:rsidR="007666E3" w14:paraId="2EDFA2A2" w14:textId="77777777" w:rsidTr="007666E3">
        <w:trPr>
          <w:trHeight w:val="1761"/>
        </w:trPr>
        <w:tc>
          <w:tcPr>
            <w:tcW w:w="2264" w:type="dxa"/>
            <w:vAlign w:val="top"/>
          </w:tcPr>
          <w:p w14:paraId="194F51FD" w14:textId="77777777" w:rsidR="007666E3" w:rsidRPr="00953B54" w:rsidRDefault="007666E3" w:rsidP="007666E3">
            <w:pPr>
              <w:rPr>
                <w:b/>
                <w:color w:val="49C5B1"/>
                <w:szCs w:val="24"/>
              </w:rPr>
            </w:pPr>
            <w:r w:rsidRPr="00953B54">
              <w:rPr>
                <w:b/>
                <w:color w:val="49C5B1"/>
                <w:szCs w:val="24"/>
              </w:rPr>
              <w:t>Experience and skills</w:t>
            </w:r>
          </w:p>
          <w:p w14:paraId="1309291C" w14:textId="77777777" w:rsidR="007666E3" w:rsidRPr="00953B54" w:rsidRDefault="007666E3" w:rsidP="007666E3">
            <w:pPr>
              <w:rPr>
                <w:b/>
                <w:color w:val="49C5B1"/>
                <w:szCs w:val="24"/>
              </w:rPr>
            </w:pPr>
          </w:p>
        </w:tc>
        <w:tc>
          <w:tcPr>
            <w:tcW w:w="3402" w:type="dxa"/>
            <w:vAlign w:val="top"/>
          </w:tcPr>
          <w:p w14:paraId="0FADFAB6" w14:textId="4DF530EC" w:rsidR="001D304A" w:rsidRDefault="001D304A" w:rsidP="001D304A">
            <w:pPr>
              <w:pStyle w:val="ListParagraph"/>
              <w:numPr>
                <w:ilvl w:val="0"/>
                <w:numId w:val="11"/>
              </w:numPr>
              <w:rPr>
                <w:i/>
                <w:color w:val="323232"/>
              </w:rPr>
            </w:pPr>
            <w:r w:rsidRPr="00CD2F63">
              <w:rPr>
                <w:i/>
                <w:color w:val="323232"/>
              </w:rPr>
              <w:t xml:space="preserve">Learning Management Systems – content curation, design and management, reporting, monitoring, and enhancing </w:t>
            </w:r>
          </w:p>
          <w:p w14:paraId="0915D662" w14:textId="77777777" w:rsidR="0087763E" w:rsidRPr="00CD2F63" w:rsidRDefault="0087763E" w:rsidP="0087763E">
            <w:pPr>
              <w:pStyle w:val="ListParagraph"/>
              <w:ind w:left="360"/>
              <w:rPr>
                <w:i/>
                <w:color w:val="323232"/>
              </w:rPr>
            </w:pPr>
          </w:p>
          <w:p w14:paraId="598B1601" w14:textId="77777777" w:rsidR="00382F0A" w:rsidRPr="00382F0A" w:rsidRDefault="00382F0A" w:rsidP="00382F0A">
            <w:pPr>
              <w:pStyle w:val="ListParagraph"/>
              <w:numPr>
                <w:ilvl w:val="0"/>
                <w:numId w:val="11"/>
              </w:numPr>
              <w:rPr>
                <w:i/>
                <w:color w:val="323232"/>
              </w:rPr>
            </w:pPr>
            <w:r w:rsidRPr="00382F0A">
              <w:rPr>
                <w:i/>
                <w:color w:val="323232"/>
              </w:rPr>
              <w:t>Experience designing and implementing training and leadership development programmes/workshops, including learning materials, with evaluation of impact</w:t>
            </w:r>
          </w:p>
          <w:p w14:paraId="6DC405DC" w14:textId="77777777" w:rsidR="0087763E" w:rsidRPr="00C47A6A" w:rsidRDefault="0087763E" w:rsidP="0087763E">
            <w:pPr>
              <w:pStyle w:val="ListParagraph"/>
              <w:ind w:left="360"/>
              <w:rPr>
                <w:i/>
                <w:color w:val="323232"/>
              </w:rPr>
            </w:pPr>
          </w:p>
          <w:p w14:paraId="39200394" w14:textId="77777777" w:rsidR="004268E8" w:rsidRPr="004268E8" w:rsidRDefault="004268E8" w:rsidP="004268E8">
            <w:pPr>
              <w:pStyle w:val="ListParagraph"/>
              <w:numPr>
                <w:ilvl w:val="0"/>
                <w:numId w:val="11"/>
              </w:numPr>
              <w:rPr>
                <w:i/>
                <w:color w:val="323232"/>
              </w:rPr>
            </w:pPr>
            <w:r w:rsidRPr="004268E8">
              <w:rPr>
                <w:i/>
                <w:color w:val="323232"/>
              </w:rPr>
              <w:t xml:space="preserve">Strong stakeholder listening and diagnostic skills (e.g., to conduct learning needs analysis), receptive to </w:t>
            </w:r>
            <w:r w:rsidRPr="004268E8">
              <w:rPr>
                <w:i/>
                <w:color w:val="323232"/>
              </w:rPr>
              <w:lastRenderedPageBreak/>
              <w:t>feedback and continuous improvement.</w:t>
            </w:r>
          </w:p>
          <w:p w14:paraId="42136B56" w14:textId="77777777" w:rsidR="0087763E" w:rsidRPr="0087763E" w:rsidRDefault="0087763E" w:rsidP="0087763E">
            <w:pPr>
              <w:pStyle w:val="ListParagraph"/>
              <w:rPr>
                <w:i/>
                <w:color w:val="323232"/>
              </w:rPr>
            </w:pPr>
          </w:p>
          <w:p w14:paraId="5635A7FF" w14:textId="77777777" w:rsidR="00521DB9" w:rsidRPr="00521DB9" w:rsidRDefault="00521DB9" w:rsidP="00521DB9">
            <w:pPr>
              <w:pStyle w:val="ListParagraph"/>
              <w:numPr>
                <w:ilvl w:val="0"/>
                <w:numId w:val="11"/>
              </w:numPr>
              <w:rPr>
                <w:i/>
                <w:color w:val="323232"/>
              </w:rPr>
            </w:pPr>
            <w:r w:rsidRPr="00521DB9">
              <w:rPr>
                <w:i/>
                <w:color w:val="323232"/>
              </w:rPr>
              <w:t>Credible and confident facilitator/presenter, able to deliver engaging learning in person and virtually and adapt approach to different audiences.</w:t>
            </w:r>
          </w:p>
          <w:p w14:paraId="57E13320" w14:textId="77777777" w:rsidR="0087763E" w:rsidRPr="0087763E" w:rsidRDefault="0087763E" w:rsidP="0087763E">
            <w:pPr>
              <w:pStyle w:val="ListParagraph"/>
              <w:rPr>
                <w:i/>
                <w:color w:val="323232"/>
              </w:rPr>
            </w:pPr>
          </w:p>
          <w:p w14:paraId="34A00207" w14:textId="77777777" w:rsidR="00E1493A" w:rsidRPr="00E1493A" w:rsidRDefault="00E1493A" w:rsidP="00E1493A">
            <w:pPr>
              <w:pStyle w:val="ListParagraph"/>
              <w:numPr>
                <w:ilvl w:val="0"/>
                <w:numId w:val="11"/>
              </w:numPr>
              <w:rPr>
                <w:i/>
                <w:color w:val="323232"/>
              </w:rPr>
            </w:pPr>
            <w:r w:rsidRPr="00E1493A">
              <w:rPr>
                <w:i/>
                <w:color w:val="323232"/>
              </w:rPr>
              <w:t>Strong analytical/reporting skills; able to use data and insight to identify needs, design interventions, and evaluate impact for continuous improvement.</w:t>
            </w:r>
          </w:p>
          <w:p w14:paraId="1D436B5F" w14:textId="77777777" w:rsidR="0087763E" w:rsidRPr="0087763E" w:rsidRDefault="0087763E" w:rsidP="0087763E">
            <w:pPr>
              <w:pStyle w:val="ListParagraph"/>
              <w:rPr>
                <w:i/>
                <w:color w:val="323232"/>
              </w:rPr>
            </w:pPr>
          </w:p>
          <w:p w14:paraId="777D86FF" w14:textId="680992C5" w:rsidR="0056203E" w:rsidRPr="0086674C" w:rsidRDefault="0056203E" w:rsidP="00B0065A">
            <w:pPr>
              <w:pStyle w:val="ListParagraph"/>
              <w:numPr>
                <w:ilvl w:val="0"/>
                <w:numId w:val="11"/>
              </w:numPr>
              <w:rPr>
                <w:i/>
                <w:color w:val="323232"/>
              </w:rPr>
            </w:pPr>
            <w:r w:rsidRPr="0056203E">
              <w:rPr>
                <w:i/>
                <w:color w:val="323232"/>
              </w:rPr>
              <w:t>Ability to anticipate future skills/capability needs and design learning solutions that build organisational readiness.</w:t>
            </w:r>
          </w:p>
        </w:tc>
        <w:tc>
          <w:tcPr>
            <w:tcW w:w="3350" w:type="dxa"/>
            <w:vAlign w:val="top"/>
          </w:tcPr>
          <w:p w14:paraId="7AD61439" w14:textId="6EBE712C" w:rsidR="0056203E" w:rsidRDefault="0056203E" w:rsidP="0056203E">
            <w:pPr>
              <w:pStyle w:val="ListParagraph"/>
              <w:numPr>
                <w:ilvl w:val="0"/>
                <w:numId w:val="11"/>
              </w:numPr>
              <w:rPr>
                <w:i/>
                <w:color w:val="323232"/>
              </w:rPr>
            </w:pPr>
            <w:r w:rsidRPr="0056203E">
              <w:rPr>
                <w:i/>
                <w:color w:val="323232"/>
              </w:rPr>
              <w:lastRenderedPageBreak/>
              <w:t xml:space="preserve">Experience of </w:t>
            </w:r>
            <w:r w:rsidR="00B0065A">
              <w:rPr>
                <w:i/>
                <w:color w:val="323232"/>
              </w:rPr>
              <w:t xml:space="preserve">LMS, </w:t>
            </w:r>
            <w:r w:rsidRPr="0056203E">
              <w:rPr>
                <w:i/>
                <w:color w:val="323232"/>
              </w:rPr>
              <w:t>HR systems (e.g., iTrent)</w:t>
            </w:r>
          </w:p>
          <w:p w14:paraId="08047977" w14:textId="43E6DA4D" w:rsidR="0056203E" w:rsidRPr="0056203E" w:rsidRDefault="0056203E" w:rsidP="00072411">
            <w:pPr>
              <w:pStyle w:val="ListParagraph"/>
              <w:ind w:left="360"/>
              <w:rPr>
                <w:i/>
                <w:color w:val="323232"/>
              </w:rPr>
            </w:pPr>
          </w:p>
          <w:p w14:paraId="4C7C3860" w14:textId="56B9F49B" w:rsidR="00072411" w:rsidRDefault="00072411" w:rsidP="00072411">
            <w:pPr>
              <w:pStyle w:val="ListParagraph"/>
              <w:numPr>
                <w:ilvl w:val="0"/>
                <w:numId w:val="11"/>
              </w:numPr>
              <w:rPr>
                <w:i/>
                <w:color w:val="323232"/>
              </w:rPr>
            </w:pPr>
            <w:r w:rsidRPr="00072411">
              <w:rPr>
                <w:i/>
                <w:color w:val="323232"/>
              </w:rPr>
              <w:t xml:space="preserve">Experience designing (or commissioning) e-learning modules </w:t>
            </w:r>
          </w:p>
          <w:p w14:paraId="405B6F31" w14:textId="77777777" w:rsidR="00072411" w:rsidRPr="00072411" w:rsidRDefault="00072411" w:rsidP="00072411">
            <w:pPr>
              <w:pStyle w:val="ListParagraph"/>
              <w:ind w:left="360"/>
              <w:rPr>
                <w:i/>
                <w:color w:val="323232"/>
              </w:rPr>
            </w:pPr>
          </w:p>
          <w:p w14:paraId="783BF2D4" w14:textId="77777777" w:rsidR="001D304A" w:rsidRPr="0075059B" w:rsidRDefault="001D304A" w:rsidP="0018526D">
            <w:pPr>
              <w:pStyle w:val="ListParagraph"/>
              <w:ind w:left="360"/>
              <w:rPr>
                <w:i/>
                <w:color w:val="323232"/>
              </w:rPr>
            </w:pPr>
          </w:p>
        </w:tc>
      </w:tr>
      <w:tr w:rsidR="007666E3" w14:paraId="28E8CDAC" w14:textId="77777777" w:rsidTr="007666E3">
        <w:trPr>
          <w:cnfStyle w:val="000000100000" w:firstRow="0" w:lastRow="0" w:firstColumn="0" w:lastColumn="0" w:oddVBand="0" w:evenVBand="0" w:oddHBand="1" w:evenHBand="0" w:firstRowFirstColumn="0" w:firstRowLastColumn="0" w:lastRowFirstColumn="0" w:lastRowLastColumn="0"/>
          <w:trHeight w:val="2273"/>
        </w:trPr>
        <w:tc>
          <w:tcPr>
            <w:tcW w:w="2264" w:type="dxa"/>
            <w:vAlign w:val="top"/>
          </w:tcPr>
          <w:p w14:paraId="546EDED1" w14:textId="77777777" w:rsidR="007666E3" w:rsidRPr="00953B54" w:rsidRDefault="007666E3" w:rsidP="007666E3">
            <w:pPr>
              <w:rPr>
                <w:b/>
                <w:szCs w:val="24"/>
              </w:rPr>
            </w:pPr>
            <w:r w:rsidRPr="00953B54">
              <w:rPr>
                <w:b/>
                <w:color w:val="49C5B1"/>
                <w:szCs w:val="24"/>
              </w:rPr>
              <w:t>People and interpersonal skills</w:t>
            </w:r>
          </w:p>
        </w:tc>
        <w:tc>
          <w:tcPr>
            <w:tcW w:w="3402" w:type="dxa"/>
            <w:vAlign w:val="top"/>
          </w:tcPr>
          <w:p w14:paraId="19B3B3F2" w14:textId="77777777" w:rsidR="0087763E" w:rsidRDefault="00C02508" w:rsidP="00BB0A68">
            <w:pPr>
              <w:pStyle w:val="ListParagraph"/>
              <w:numPr>
                <w:ilvl w:val="0"/>
                <w:numId w:val="11"/>
              </w:numPr>
              <w:rPr>
                <w:i/>
                <w:color w:val="323232"/>
              </w:rPr>
            </w:pPr>
            <w:r w:rsidRPr="0087763E">
              <w:rPr>
                <w:i/>
                <w:color w:val="323232"/>
              </w:rPr>
              <w:t>Demonstrates a creative and innovative approach to L&amp;D, designing and delivering modern, evidence-based interventions that go beyond traditional methods and have measurable impact.</w:t>
            </w:r>
          </w:p>
          <w:p w14:paraId="1FC7356B" w14:textId="77777777" w:rsidR="0087763E" w:rsidRDefault="0087763E" w:rsidP="0018526D">
            <w:pPr>
              <w:pStyle w:val="ListParagraph"/>
              <w:ind w:left="360"/>
              <w:rPr>
                <w:i/>
                <w:color w:val="323232"/>
              </w:rPr>
            </w:pPr>
          </w:p>
          <w:p w14:paraId="24994DE2" w14:textId="77777777" w:rsidR="00213F34" w:rsidRPr="00213F34" w:rsidRDefault="00213F34" w:rsidP="00213F34">
            <w:pPr>
              <w:pStyle w:val="ListParagraph"/>
              <w:numPr>
                <w:ilvl w:val="0"/>
                <w:numId w:val="11"/>
              </w:numPr>
              <w:rPr>
                <w:i/>
                <w:color w:val="323232"/>
              </w:rPr>
            </w:pPr>
            <w:r w:rsidRPr="00213F34">
              <w:rPr>
                <w:i/>
                <w:color w:val="323232"/>
              </w:rPr>
              <w:t>Experience partnering with internal/external stakeholders and suppliers, including influencing priorities and managing delivery expectations.</w:t>
            </w:r>
          </w:p>
          <w:p w14:paraId="6C5CDCE6" w14:textId="77777777" w:rsidR="0087763E" w:rsidRDefault="0087763E" w:rsidP="00213F34">
            <w:pPr>
              <w:pStyle w:val="ListParagraph"/>
              <w:ind w:left="360"/>
              <w:rPr>
                <w:i/>
                <w:color w:val="323232"/>
              </w:rPr>
            </w:pPr>
          </w:p>
          <w:p w14:paraId="5A9AD772" w14:textId="77777777" w:rsidR="00623CE5" w:rsidRPr="00623CE5" w:rsidRDefault="00623CE5" w:rsidP="00623CE5">
            <w:pPr>
              <w:pStyle w:val="ListParagraph"/>
              <w:numPr>
                <w:ilvl w:val="0"/>
                <w:numId w:val="11"/>
              </w:numPr>
              <w:rPr>
                <w:i/>
                <w:color w:val="323232"/>
              </w:rPr>
            </w:pPr>
            <w:r w:rsidRPr="00623CE5">
              <w:rPr>
                <w:i/>
                <w:color w:val="323232"/>
              </w:rPr>
              <w:t>Able to work autonomously, prioritise competing demands, and deliver programmes to deadline while collaborating effectively.</w:t>
            </w:r>
          </w:p>
          <w:p w14:paraId="4C72B1BA" w14:textId="77777777" w:rsidR="0087763E" w:rsidRPr="0087763E" w:rsidRDefault="0087763E" w:rsidP="00213F34">
            <w:pPr>
              <w:pStyle w:val="ListParagraph"/>
              <w:ind w:left="360"/>
              <w:rPr>
                <w:i/>
                <w:color w:val="323232"/>
              </w:rPr>
            </w:pPr>
          </w:p>
          <w:p w14:paraId="4EEA620A" w14:textId="77777777" w:rsidR="00623CE5" w:rsidRPr="00623CE5" w:rsidRDefault="00623CE5" w:rsidP="00623CE5">
            <w:pPr>
              <w:pStyle w:val="ListParagraph"/>
              <w:numPr>
                <w:ilvl w:val="0"/>
                <w:numId w:val="11"/>
              </w:numPr>
              <w:rPr>
                <w:i/>
                <w:color w:val="323232"/>
              </w:rPr>
            </w:pPr>
            <w:r w:rsidRPr="00623CE5">
              <w:rPr>
                <w:i/>
                <w:color w:val="323232"/>
              </w:rPr>
              <w:t>Excellent communication and relationship-building skills, with strong influencing, negotiation and decision-making capability.</w:t>
            </w:r>
          </w:p>
          <w:p w14:paraId="5130DDA1" w14:textId="5D3ED7D1" w:rsidR="007666E3" w:rsidRPr="0075059B" w:rsidRDefault="007666E3" w:rsidP="00623CE5">
            <w:pPr>
              <w:pStyle w:val="ListParagraph"/>
              <w:ind w:left="360"/>
              <w:rPr>
                <w:i/>
                <w:color w:val="323232"/>
              </w:rPr>
            </w:pPr>
          </w:p>
        </w:tc>
        <w:tc>
          <w:tcPr>
            <w:tcW w:w="3350" w:type="dxa"/>
            <w:vAlign w:val="top"/>
          </w:tcPr>
          <w:p w14:paraId="5AB33AEF" w14:textId="77777777" w:rsidR="007666E3" w:rsidRPr="0075059B" w:rsidRDefault="007666E3" w:rsidP="004422A6">
            <w:pPr>
              <w:pStyle w:val="ListParagraph"/>
              <w:ind w:left="360"/>
              <w:rPr>
                <w:i/>
                <w:color w:val="323232"/>
              </w:rPr>
            </w:pPr>
          </w:p>
        </w:tc>
      </w:tr>
    </w:tbl>
    <w:p w14:paraId="06271A14" w14:textId="77777777" w:rsidR="00E75E94" w:rsidRDefault="00E75E94" w:rsidP="0053490E">
      <w:pPr>
        <w:ind w:left="-284"/>
        <w:rPr>
          <w:b/>
          <w:sz w:val="24"/>
        </w:rPr>
      </w:pPr>
    </w:p>
    <w:p w14:paraId="25201588" w14:textId="77777777" w:rsidR="004422A6" w:rsidRDefault="004422A6">
      <w:pPr>
        <w:rPr>
          <w:b/>
          <w:sz w:val="24"/>
        </w:rPr>
      </w:pPr>
      <w:r>
        <w:rPr>
          <w:b/>
          <w:sz w:val="24"/>
        </w:rPr>
        <w:br w:type="page"/>
      </w:r>
    </w:p>
    <w:p w14:paraId="5AE6D8F2" w14:textId="77777777" w:rsidR="00525E74" w:rsidRDefault="00525E74" w:rsidP="0053490E">
      <w:pPr>
        <w:ind w:left="-284"/>
        <w:rPr>
          <w:b/>
          <w:sz w:val="24"/>
        </w:rPr>
      </w:pPr>
    </w:p>
    <w:p w14:paraId="651DB43F" w14:textId="77777777" w:rsidR="0053490E" w:rsidRPr="00525E74" w:rsidRDefault="0053490E" w:rsidP="0053490E">
      <w:pPr>
        <w:ind w:left="-284"/>
        <w:rPr>
          <w:b/>
        </w:rPr>
      </w:pPr>
      <w:r w:rsidRPr="00525E74">
        <w:rPr>
          <w:b/>
        </w:rPr>
        <w:t>The post holder will also need to demonstrate the following values:</w:t>
      </w:r>
    </w:p>
    <w:p w14:paraId="3F98CA26" w14:textId="77777777" w:rsidR="0053490E" w:rsidRDefault="0053490E" w:rsidP="0053490E">
      <w:pPr>
        <w:ind w:left="-284"/>
        <w:rPr>
          <w:b/>
          <w:sz w:val="24"/>
        </w:rPr>
      </w:pPr>
    </w:p>
    <w:tbl>
      <w:tblPr>
        <w:tblStyle w:val="RCStable"/>
        <w:tblW w:w="9493" w:type="dxa"/>
        <w:tblInd w:w="-284"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80" w:firstRow="0" w:lastRow="0" w:firstColumn="1" w:lastColumn="0" w:noHBand="0" w:noVBand="1"/>
      </w:tblPr>
      <w:tblGrid>
        <w:gridCol w:w="2547"/>
        <w:gridCol w:w="6946"/>
      </w:tblGrid>
      <w:tr w:rsidR="0053490E" w14:paraId="4F129F72" w14:textId="77777777" w:rsidTr="006E588C">
        <w:trPr>
          <w:cnfStyle w:val="000000100000" w:firstRow="0" w:lastRow="0" w:firstColumn="0" w:lastColumn="0" w:oddVBand="0" w:evenVBand="0" w:oddHBand="1" w:evenHBand="0" w:firstRowFirstColumn="0" w:firstRowLastColumn="0" w:lastRowFirstColumn="0" w:lastRowLastColumn="0"/>
          <w:trHeight w:val="732"/>
        </w:trPr>
        <w:tc>
          <w:tcPr>
            <w:tcW w:w="2547" w:type="dxa"/>
            <w:vMerge w:val="restart"/>
            <w:shd w:val="clear" w:color="auto" w:fill="FFFFFF" w:themeFill="background1"/>
          </w:tcPr>
          <w:p w14:paraId="638FF7E8" w14:textId="77777777" w:rsidR="0053490E" w:rsidRDefault="0053490E" w:rsidP="0053490E">
            <w:pPr>
              <w:pStyle w:val="Subtitle"/>
              <w:jc w:val="center"/>
            </w:pPr>
            <w:r w:rsidRPr="0053490E">
              <w:rPr>
                <w:sz w:val="28"/>
              </w:rPr>
              <w:t>Collaboration</w:t>
            </w:r>
          </w:p>
        </w:tc>
        <w:tc>
          <w:tcPr>
            <w:tcW w:w="6946" w:type="dxa"/>
            <w:shd w:val="clear" w:color="auto" w:fill="FFFFFF" w:themeFill="background1"/>
          </w:tcPr>
          <w:p w14:paraId="252672E6" w14:textId="77777777" w:rsidR="0053490E" w:rsidRPr="0053490E" w:rsidRDefault="0053490E" w:rsidP="0053490E">
            <w:pPr>
              <w:rPr>
                <w:b/>
              </w:rPr>
            </w:pPr>
            <w:r w:rsidRPr="0053490E">
              <w:rPr>
                <w:b/>
              </w:rPr>
              <w:t>We embrace our collective responsibilities working collaboratively and as one college.</w:t>
            </w:r>
          </w:p>
        </w:tc>
      </w:tr>
      <w:tr w:rsidR="0053490E" w14:paraId="59F82168" w14:textId="77777777" w:rsidTr="006E588C">
        <w:trPr>
          <w:trHeight w:val="2185"/>
        </w:trPr>
        <w:tc>
          <w:tcPr>
            <w:tcW w:w="2547" w:type="dxa"/>
            <w:vMerge/>
            <w:shd w:val="clear" w:color="auto" w:fill="FFFFFF" w:themeFill="background1"/>
          </w:tcPr>
          <w:p w14:paraId="187BB39B" w14:textId="77777777" w:rsidR="0053490E" w:rsidRDefault="0053490E" w:rsidP="0053490E">
            <w:pPr>
              <w:rPr>
                <w:b/>
                <w:sz w:val="24"/>
              </w:rPr>
            </w:pPr>
          </w:p>
        </w:tc>
        <w:tc>
          <w:tcPr>
            <w:tcW w:w="6946" w:type="dxa"/>
            <w:shd w:val="clear" w:color="auto" w:fill="FFFFFF" w:themeFill="background1"/>
          </w:tcPr>
          <w:p w14:paraId="5CA5F6F5" w14:textId="77777777" w:rsidR="0053490E" w:rsidRPr="0053490E" w:rsidRDefault="0053490E" w:rsidP="0053490E">
            <w:pPr>
              <w:pStyle w:val="ListParagraph"/>
              <w:numPr>
                <w:ilvl w:val="0"/>
                <w:numId w:val="8"/>
              </w:numPr>
            </w:pPr>
            <w:r w:rsidRPr="0053490E">
              <w:t>We work together, using our collective expertise and experience to effect positive change</w:t>
            </w:r>
          </w:p>
          <w:p w14:paraId="65FFF0F0" w14:textId="77777777" w:rsidR="0053490E" w:rsidRPr="0053490E" w:rsidRDefault="0053490E" w:rsidP="0053490E">
            <w:pPr>
              <w:pStyle w:val="ListParagraph"/>
              <w:numPr>
                <w:ilvl w:val="0"/>
                <w:numId w:val="8"/>
              </w:numPr>
            </w:pPr>
            <w:r w:rsidRPr="0053490E">
              <w:t>We are open, honest and transparent, straightforward in our language and actions, acting with sincerity and delivering on our commitments</w:t>
            </w:r>
          </w:p>
          <w:p w14:paraId="26CB2285" w14:textId="77777777" w:rsidR="0053490E" w:rsidRPr="0053490E" w:rsidRDefault="0053490E" w:rsidP="0053490E">
            <w:pPr>
              <w:pStyle w:val="ListParagraph"/>
              <w:numPr>
                <w:ilvl w:val="0"/>
                <w:numId w:val="8"/>
              </w:numPr>
            </w:pPr>
            <w:r w:rsidRPr="0053490E">
              <w:t>We take our responsibilities to each other, to patient care and to the environment seriously and we act with this in mind across our work</w:t>
            </w:r>
          </w:p>
        </w:tc>
      </w:tr>
    </w:tbl>
    <w:p w14:paraId="1F266B80" w14:textId="77777777" w:rsidR="0053490E" w:rsidRDefault="0053490E" w:rsidP="0053490E">
      <w:pPr>
        <w:rPr>
          <w:b/>
          <w:sz w:val="24"/>
        </w:rPr>
      </w:pPr>
    </w:p>
    <w:tbl>
      <w:tblPr>
        <w:tblStyle w:val="RCStable"/>
        <w:tblW w:w="9493" w:type="dxa"/>
        <w:tblInd w:w="-284" w:type="dxa"/>
        <w:tblBorders>
          <w:top w:val="single" w:sz="4" w:space="0" w:color="auto"/>
          <w:left w:val="single" w:sz="4" w:space="0" w:color="auto"/>
          <w:bottom w:val="single" w:sz="4" w:space="0" w:color="595959" w:themeColor="text1" w:themeTint="A6"/>
          <w:right w:val="single" w:sz="4" w:space="0" w:color="auto"/>
          <w:insideH w:val="single" w:sz="4" w:space="0" w:color="auto"/>
          <w:insideV w:val="single" w:sz="4" w:space="0" w:color="auto"/>
        </w:tblBorders>
        <w:tblLook w:val="0480" w:firstRow="0" w:lastRow="0" w:firstColumn="1" w:lastColumn="0" w:noHBand="0" w:noVBand="1"/>
      </w:tblPr>
      <w:tblGrid>
        <w:gridCol w:w="2547"/>
        <w:gridCol w:w="6946"/>
      </w:tblGrid>
      <w:tr w:rsidR="0053490E" w14:paraId="405DDFAA" w14:textId="77777777" w:rsidTr="006E588C">
        <w:trPr>
          <w:cnfStyle w:val="000000100000" w:firstRow="0" w:lastRow="0" w:firstColumn="0" w:lastColumn="0" w:oddVBand="0" w:evenVBand="0" w:oddHBand="1" w:evenHBand="0" w:firstRowFirstColumn="0" w:firstRowLastColumn="0" w:lastRowFirstColumn="0" w:lastRowLastColumn="0"/>
          <w:trHeight w:val="1262"/>
        </w:trPr>
        <w:tc>
          <w:tcPr>
            <w:tcW w:w="2547" w:type="dxa"/>
            <w:vMerge w:val="restart"/>
            <w:shd w:val="clear" w:color="auto" w:fill="FFFFFF" w:themeFill="background1"/>
          </w:tcPr>
          <w:p w14:paraId="1FF6C360" w14:textId="77777777" w:rsidR="0053490E" w:rsidRDefault="0053490E" w:rsidP="0053490E">
            <w:pPr>
              <w:pStyle w:val="Subtitle"/>
              <w:jc w:val="center"/>
            </w:pPr>
            <w:r>
              <w:rPr>
                <w:sz w:val="28"/>
              </w:rPr>
              <w:t>Respect</w:t>
            </w:r>
          </w:p>
        </w:tc>
        <w:tc>
          <w:tcPr>
            <w:tcW w:w="6946" w:type="dxa"/>
            <w:shd w:val="clear" w:color="auto" w:fill="FFFFFF" w:themeFill="background1"/>
          </w:tcPr>
          <w:p w14:paraId="58B2045A" w14:textId="77777777" w:rsidR="0053490E" w:rsidRPr="0053490E" w:rsidRDefault="0053490E" w:rsidP="0053490E">
            <w:pPr>
              <w:rPr>
                <w:b/>
              </w:rPr>
            </w:pPr>
            <w:r w:rsidRPr="0053490E">
              <w:rPr>
                <w:b/>
              </w:rPr>
              <w:t xml:space="preserve">We value every person we </w:t>
            </w:r>
            <w:proofErr w:type="gramStart"/>
            <w:r w:rsidRPr="0053490E">
              <w:rPr>
                <w:b/>
              </w:rPr>
              <w:t>come into contact with</w:t>
            </w:r>
            <w:proofErr w:type="gramEnd"/>
            <w:r w:rsidRPr="0053490E">
              <w:rPr>
                <w:b/>
              </w:rPr>
              <w:t xml:space="preserve"> at the College as an individual, respect their aspirations and commitments in life, and seek to understand and meet their physical and wellbeing needs</w:t>
            </w:r>
            <w:r>
              <w:rPr>
                <w:b/>
              </w:rPr>
              <w:t>.</w:t>
            </w:r>
          </w:p>
        </w:tc>
      </w:tr>
      <w:tr w:rsidR="0053490E" w14:paraId="2433E57A" w14:textId="77777777" w:rsidTr="006E588C">
        <w:trPr>
          <w:trHeight w:val="1500"/>
        </w:trPr>
        <w:tc>
          <w:tcPr>
            <w:tcW w:w="2547" w:type="dxa"/>
            <w:vMerge/>
            <w:shd w:val="clear" w:color="auto" w:fill="FFFFFF" w:themeFill="background1"/>
          </w:tcPr>
          <w:p w14:paraId="6C5A56F8" w14:textId="77777777" w:rsidR="0053490E" w:rsidRDefault="0053490E">
            <w:pPr>
              <w:rPr>
                <w:b/>
                <w:sz w:val="24"/>
              </w:rPr>
            </w:pPr>
          </w:p>
        </w:tc>
        <w:tc>
          <w:tcPr>
            <w:tcW w:w="6946" w:type="dxa"/>
            <w:shd w:val="clear" w:color="auto" w:fill="FFFFFF" w:themeFill="background1"/>
          </w:tcPr>
          <w:p w14:paraId="60C75C9B" w14:textId="77777777" w:rsidR="0053490E" w:rsidRDefault="0053490E" w:rsidP="0053490E">
            <w:pPr>
              <w:pStyle w:val="ListParagraph"/>
              <w:numPr>
                <w:ilvl w:val="0"/>
                <w:numId w:val="9"/>
              </w:numPr>
            </w:pPr>
            <w:r>
              <w:t xml:space="preserve">We treat everyone we meet with kindness and </w:t>
            </w:r>
            <w:proofErr w:type="gramStart"/>
            <w:r>
              <w:t>integrity</w:t>
            </w:r>
            <w:proofErr w:type="gramEnd"/>
            <w:r>
              <w:t xml:space="preserve"> and we seek to promote these behaviours in others</w:t>
            </w:r>
          </w:p>
          <w:p w14:paraId="5B389188" w14:textId="77777777" w:rsidR="0053490E" w:rsidRPr="0053490E" w:rsidRDefault="0053490E" w:rsidP="0053490E">
            <w:pPr>
              <w:pStyle w:val="ListParagraph"/>
              <w:numPr>
                <w:ilvl w:val="0"/>
                <w:numId w:val="9"/>
              </w:numPr>
            </w:pPr>
            <w:r>
              <w:t>We actively seek a range of views and experiences across our work, and we listen to, and make everyone feel, a valued part of the team</w:t>
            </w:r>
          </w:p>
        </w:tc>
      </w:tr>
    </w:tbl>
    <w:p w14:paraId="75F72F57" w14:textId="77777777" w:rsidR="0053490E" w:rsidRDefault="0053490E" w:rsidP="0053490E">
      <w:pPr>
        <w:ind w:left="-284"/>
        <w:rPr>
          <w:b/>
          <w:sz w:val="24"/>
        </w:rPr>
      </w:pPr>
    </w:p>
    <w:tbl>
      <w:tblPr>
        <w:tblStyle w:val="RCStable"/>
        <w:tblW w:w="9493" w:type="dxa"/>
        <w:tblInd w:w="-284"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80" w:firstRow="0" w:lastRow="0" w:firstColumn="1" w:lastColumn="0" w:noHBand="0" w:noVBand="1"/>
      </w:tblPr>
      <w:tblGrid>
        <w:gridCol w:w="2547"/>
        <w:gridCol w:w="6946"/>
      </w:tblGrid>
      <w:tr w:rsidR="0053490E" w14:paraId="2B47227B" w14:textId="77777777" w:rsidTr="006E588C">
        <w:trPr>
          <w:cnfStyle w:val="000000100000" w:firstRow="0" w:lastRow="0" w:firstColumn="0" w:lastColumn="0" w:oddVBand="0" w:evenVBand="0" w:oddHBand="1" w:evenHBand="0" w:firstRowFirstColumn="0" w:firstRowLastColumn="0" w:lastRowFirstColumn="0" w:lastRowLastColumn="0"/>
          <w:trHeight w:val="935"/>
        </w:trPr>
        <w:tc>
          <w:tcPr>
            <w:tcW w:w="2547" w:type="dxa"/>
            <w:vMerge w:val="restart"/>
            <w:shd w:val="clear" w:color="auto" w:fill="FFFFFF" w:themeFill="background1"/>
          </w:tcPr>
          <w:p w14:paraId="26E01B63" w14:textId="77777777" w:rsidR="0053490E" w:rsidRDefault="0053490E" w:rsidP="0053490E">
            <w:pPr>
              <w:pStyle w:val="Subtitle"/>
              <w:jc w:val="center"/>
            </w:pPr>
            <w:r>
              <w:rPr>
                <w:sz w:val="28"/>
              </w:rPr>
              <w:t>Excellence</w:t>
            </w:r>
          </w:p>
        </w:tc>
        <w:tc>
          <w:tcPr>
            <w:tcW w:w="6946" w:type="dxa"/>
            <w:shd w:val="clear" w:color="auto" w:fill="FFFFFF" w:themeFill="background1"/>
          </w:tcPr>
          <w:p w14:paraId="7E876553" w14:textId="77777777" w:rsidR="0053490E" w:rsidRPr="0053490E" w:rsidRDefault="0053490E" w:rsidP="0053490E">
            <w:pPr>
              <w:rPr>
                <w:b/>
              </w:rPr>
            </w:pPr>
            <w:r w:rsidRPr="0053490E">
              <w:rPr>
                <w:b/>
              </w:rPr>
              <w:t>We aspire to excellence and success. We share learning from our experiences, apply feedback into practice, and commit to continual improvement.</w:t>
            </w:r>
          </w:p>
        </w:tc>
      </w:tr>
      <w:tr w:rsidR="0053490E" w14:paraId="3CD12475" w14:textId="77777777" w:rsidTr="006E588C">
        <w:trPr>
          <w:trHeight w:val="2485"/>
        </w:trPr>
        <w:tc>
          <w:tcPr>
            <w:tcW w:w="2547" w:type="dxa"/>
            <w:vMerge/>
            <w:shd w:val="clear" w:color="auto" w:fill="FFFFFF" w:themeFill="background1"/>
          </w:tcPr>
          <w:p w14:paraId="63028FF0" w14:textId="77777777" w:rsidR="0053490E" w:rsidRDefault="0053490E">
            <w:pPr>
              <w:rPr>
                <w:b/>
                <w:sz w:val="24"/>
              </w:rPr>
            </w:pPr>
          </w:p>
        </w:tc>
        <w:tc>
          <w:tcPr>
            <w:tcW w:w="6946" w:type="dxa"/>
            <w:shd w:val="clear" w:color="auto" w:fill="FFFFFF" w:themeFill="background1"/>
          </w:tcPr>
          <w:p w14:paraId="7458E06C" w14:textId="77777777" w:rsidR="0053490E" w:rsidRDefault="0053490E" w:rsidP="0053490E">
            <w:pPr>
              <w:pStyle w:val="ListParagraph"/>
              <w:numPr>
                <w:ilvl w:val="0"/>
                <w:numId w:val="10"/>
              </w:numPr>
            </w:pPr>
            <w:r>
              <w:t>We work hard to be the best at what we do, recognising and celebrating effort and achievement, and reflecting on our work, so we can learn and improve</w:t>
            </w:r>
          </w:p>
          <w:p w14:paraId="10A68134" w14:textId="77777777" w:rsidR="0053490E" w:rsidRDefault="0053490E" w:rsidP="0053490E">
            <w:pPr>
              <w:pStyle w:val="ListParagraph"/>
              <w:numPr>
                <w:ilvl w:val="0"/>
                <w:numId w:val="10"/>
              </w:numPr>
            </w:pPr>
            <w:r>
              <w:t>We value and invest in research, education and training to drive excellence and put improvements in surgical practice, dentistry and patient care at the heart of our work</w:t>
            </w:r>
          </w:p>
          <w:p w14:paraId="5EB76601" w14:textId="77777777" w:rsidR="0053490E" w:rsidRPr="0053490E" w:rsidRDefault="0053490E" w:rsidP="0053490E">
            <w:pPr>
              <w:pStyle w:val="ListParagraph"/>
              <w:numPr>
                <w:ilvl w:val="0"/>
                <w:numId w:val="10"/>
              </w:numPr>
            </w:pPr>
            <w:r>
              <w:t>We always seek to learn and discover more, valuing knowledge and scientific evidence, basing our decisions on insights, fact and experience</w:t>
            </w:r>
          </w:p>
        </w:tc>
      </w:tr>
    </w:tbl>
    <w:p w14:paraId="3E706C27" w14:textId="77777777" w:rsidR="0053490E" w:rsidRDefault="0053490E" w:rsidP="0053490E">
      <w:pPr>
        <w:ind w:left="-284"/>
        <w:rPr>
          <w:b/>
          <w:sz w:val="24"/>
        </w:rPr>
      </w:pPr>
    </w:p>
    <w:p w14:paraId="79F1F13A" w14:textId="77777777" w:rsidR="0053490E" w:rsidRPr="0053490E" w:rsidRDefault="0053490E" w:rsidP="0053490E">
      <w:pPr>
        <w:ind w:left="-284"/>
        <w:rPr>
          <w:b/>
          <w:sz w:val="20"/>
        </w:rPr>
      </w:pPr>
    </w:p>
    <w:p w14:paraId="51C02ED6" w14:textId="77777777" w:rsidR="00157501" w:rsidRPr="0053490E" w:rsidRDefault="00157501" w:rsidP="00157501">
      <w:pPr>
        <w:ind w:left="-284"/>
        <w:rPr>
          <w:b/>
          <w:sz w:val="20"/>
        </w:rPr>
      </w:pPr>
    </w:p>
    <w:p w14:paraId="3B4A4E0F" w14:textId="77777777" w:rsidR="00FE1CC9" w:rsidRPr="0053490E" w:rsidRDefault="00FE1CC9" w:rsidP="00FE1CC9">
      <w:pPr>
        <w:ind w:left="-284"/>
        <w:jc w:val="both"/>
        <w:rPr>
          <w:b/>
          <w:sz w:val="20"/>
        </w:rPr>
      </w:pPr>
      <w:r w:rsidRPr="0053490E">
        <w:rPr>
          <w:b/>
          <w:sz w:val="20"/>
        </w:rPr>
        <w:t xml:space="preserve">The Royal College of Surgeons of England is an Equal Opportunities Employer. We are open to all </w:t>
      </w:r>
      <w:proofErr w:type="gramStart"/>
      <w:r w:rsidRPr="0053490E">
        <w:rPr>
          <w:b/>
          <w:sz w:val="20"/>
        </w:rPr>
        <w:t>talent</w:t>
      </w:r>
      <w:proofErr w:type="gramEnd"/>
      <w:r w:rsidRPr="0053490E">
        <w:rPr>
          <w:b/>
          <w:sz w:val="20"/>
        </w:rPr>
        <w:t xml:space="preserve"> and we actively </w:t>
      </w:r>
      <w:r w:rsidRPr="0049247F">
        <w:rPr>
          <w:b/>
          <w:sz w:val="20"/>
        </w:rPr>
        <w:t>ensure that all qualified applicants will receive equal consideration for employment without regards to age, disability, gender reassignment, marriage or civil partnership, pregnancy and maternity, race, religion or belief, sex or sexual orientation.</w:t>
      </w:r>
      <w:r w:rsidRPr="00C55412">
        <w:t xml:space="preserve"> </w:t>
      </w:r>
      <w:r w:rsidRPr="00BF745D">
        <w:rPr>
          <w:b/>
          <w:sz w:val="20"/>
        </w:rPr>
        <w:t>We are committed to creating an inclusive environment where everyone feels they belong and can thrive.</w:t>
      </w:r>
    </w:p>
    <w:p w14:paraId="0B52CA3B" w14:textId="77777777" w:rsidR="0053490E" w:rsidRPr="0053490E" w:rsidRDefault="0053490E" w:rsidP="00157501">
      <w:pPr>
        <w:ind w:left="-284"/>
        <w:jc w:val="both"/>
        <w:rPr>
          <w:b/>
          <w:sz w:val="20"/>
        </w:rPr>
      </w:pPr>
    </w:p>
    <w:sectPr w:rsidR="0053490E" w:rsidRPr="0053490E" w:rsidSect="0053490E">
      <w:headerReference w:type="default" r:id="rId8"/>
      <w:footerReference w:type="default" r:id="rId9"/>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EF989" w14:textId="77777777" w:rsidR="00983E3C" w:rsidRDefault="00983E3C" w:rsidP="00023CF2">
      <w:pPr>
        <w:spacing w:line="240" w:lineRule="auto"/>
      </w:pPr>
      <w:r>
        <w:separator/>
      </w:r>
    </w:p>
  </w:endnote>
  <w:endnote w:type="continuationSeparator" w:id="0">
    <w:p w14:paraId="1777329E" w14:textId="77777777" w:rsidR="00983E3C" w:rsidRDefault="00983E3C" w:rsidP="00023CF2">
      <w:pPr>
        <w:spacing w:line="240" w:lineRule="auto"/>
      </w:pPr>
      <w:r>
        <w:continuationSeparator/>
      </w:r>
    </w:p>
  </w:endnote>
  <w:endnote w:type="continuationNotice" w:id="1">
    <w:p w14:paraId="1AC346EB" w14:textId="77777777" w:rsidR="00983E3C" w:rsidRDefault="00983E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4531" w14:textId="77777777" w:rsidR="00023CF2" w:rsidRDefault="00023CF2">
    <w:pPr>
      <w:pStyle w:val="Footer"/>
    </w:pPr>
    <w:r>
      <w:rPr>
        <w:noProof/>
        <w:lang w:eastAsia="en-GB"/>
      </w:rPr>
      <w:drawing>
        <wp:anchor distT="0" distB="0" distL="114300" distR="114300" simplePos="0" relativeHeight="251658240" behindDoc="1" locked="0" layoutInCell="1" allowOverlap="1" wp14:anchorId="588F0C26" wp14:editId="02D1F98E">
          <wp:simplePos x="0" y="0"/>
          <wp:positionH relativeFrom="page">
            <wp:align>left</wp:align>
          </wp:positionH>
          <wp:positionV relativeFrom="paragraph">
            <wp:posOffset>-490633</wp:posOffset>
          </wp:positionV>
          <wp:extent cx="7606376" cy="1086264"/>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 Values Ba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6376" cy="108626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B5C0F" w14:textId="77777777" w:rsidR="00983E3C" w:rsidRDefault="00983E3C" w:rsidP="00023CF2">
      <w:pPr>
        <w:spacing w:line="240" w:lineRule="auto"/>
      </w:pPr>
      <w:r>
        <w:separator/>
      </w:r>
    </w:p>
  </w:footnote>
  <w:footnote w:type="continuationSeparator" w:id="0">
    <w:p w14:paraId="02811E9A" w14:textId="77777777" w:rsidR="00983E3C" w:rsidRDefault="00983E3C" w:rsidP="00023CF2">
      <w:pPr>
        <w:spacing w:line="240" w:lineRule="auto"/>
      </w:pPr>
      <w:r>
        <w:continuationSeparator/>
      </w:r>
    </w:p>
  </w:footnote>
  <w:footnote w:type="continuationNotice" w:id="1">
    <w:p w14:paraId="74326E23" w14:textId="77777777" w:rsidR="00983E3C" w:rsidRDefault="00983E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36BB" w14:textId="77777777" w:rsidR="00023CF2" w:rsidRDefault="00023CF2">
    <w:pPr>
      <w:pStyle w:val="Header"/>
    </w:pPr>
    <w:r>
      <w:rPr>
        <w:noProof/>
        <w:lang w:eastAsia="en-GB"/>
      </w:rPr>
      <w:drawing>
        <wp:anchor distT="0" distB="0" distL="114300" distR="114300" simplePos="0" relativeHeight="251658241" behindDoc="0" locked="0" layoutInCell="1" allowOverlap="1" wp14:anchorId="74A4771F" wp14:editId="647ADD77">
          <wp:simplePos x="0" y="0"/>
          <wp:positionH relativeFrom="column">
            <wp:posOffset>4195465</wp:posOffset>
          </wp:positionH>
          <wp:positionV relativeFrom="paragraph">
            <wp:posOffset>-280615</wp:posOffset>
          </wp:positionV>
          <wp:extent cx="2062315" cy="1013792"/>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RCS England_Main_Strapline_RGB_Mo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1873" cy="10184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B97"/>
    <w:multiLevelType w:val="multilevel"/>
    <w:tmpl w:val="86DC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45367"/>
    <w:multiLevelType w:val="multilevel"/>
    <w:tmpl w:val="B2F8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21F6D"/>
    <w:multiLevelType w:val="multilevel"/>
    <w:tmpl w:val="C414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F5588"/>
    <w:multiLevelType w:val="multilevel"/>
    <w:tmpl w:val="15E8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659A2"/>
    <w:multiLevelType w:val="hybridMultilevel"/>
    <w:tmpl w:val="C958A94C"/>
    <w:lvl w:ilvl="0" w:tplc="08090001">
      <w:start w:val="1"/>
      <w:numFmt w:val="bullet"/>
      <w:lvlText w:val=""/>
      <w:lvlJc w:val="left"/>
      <w:pPr>
        <w:ind w:left="436" w:hanging="360"/>
      </w:pPr>
      <w:rPr>
        <w:rFonts w:ascii="Symbol" w:hAnsi="Symbol" w:hint="default"/>
      </w:rPr>
    </w:lvl>
    <w:lvl w:ilvl="1" w:tplc="7CEE4A36">
      <w:numFmt w:val="bullet"/>
      <w:lvlText w:val="•"/>
      <w:lvlJc w:val="left"/>
      <w:pPr>
        <w:ind w:left="1516" w:hanging="720"/>
      </w:pPr>
      <w:rPr>
        <w:rFonts w:ascii="Arial" w:eastAsiaTheme="minorHAnsi" w:hAnsi="Arial" w:cs="Arial"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12475116"/>
    <w:multiLevelType w:val="hybridMultilevel"/>
    <w:tmpl w:val="F78C6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62966"/>
    <w:multiLevelType w:val="hybridMultilevel"/>
    <w:tmpl w:val="C514376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1EEB5B1B"/>
    <w:multiLevelType w:val="multilevel"/>
    <w:tmpl w:val="B052C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16134C"/>
    <w:multiLevelType w:val="multilevel"/>
    <w:tmpl w:val="EC92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A8705C"/>
    <w:multiLevelType w:val="multilevel"/>
    <w:tmpl w:val="B03A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8F722E"/>
    <w:multiLevelType w:val="hybridMultilevel"/>
    <w:tmpl w:val="233C1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E0595"/>
    <w:multiLevelType w:val="multilevel"/>
    <w:tmpl w:val="8A7C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936AC"/>
    <w:multiLevelType w:val="multilevel"/>
    <w:tmpl w:val="383A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04730"/>
    <w:multiLevelType w:val="multilevel"/>
    <w:tmpl w:val="6AB2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B466F"/>
    <w:multiLevelType w:val="multilevel"/>
    <w:tmpl w:val="BDF8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E7CA5"/>
    <w:multiLevelType w:val="hybridMultilevel"/>
    <w:tmpl w:val="12081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F4046D"/>
    <w:multiLevelType w:val="hybridMultilevel"/>
    <w:tmpl w:val="D324C7F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7" w15:restartNumberingAfterBreak="0">
    <w:nsid w:val="44FA5DFC"/>
    <w:multiLevelType w:val="multilevel"/>
    <w:tmpl w:val="B58A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CF6B58"/>
    <w:multiLevelType w:val="multilevel"/>
    <w:tmpl w:val="CC74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9F5FD0"/>
    <w:multiLevelType w:val="hybridMultilevel"/>
    <w:tmpl w:val="E7205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355708"/>
    <w:multiLevelType w:val="hybridMultilevel"/>
    <w:tmpl w:val="826E4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D4240B"/>
    <w:multiLevelType w:val="hybridMultilevel"/>
    <w:tmpl w:val="D794C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4A0297"/>
    <w:multiLevelType w:val="multilevel"/>
    <w:tmpl w:val="055C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5D7FBF"/>
    <w:multiLevelType w:val="hybridMultilevel"/>
    <w:tmpl w:val="2E26AFA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4" w15:restartNumberingAfterBreak="0">
    <w:nsid w:val="5DC7540B"/>
    <w:multiLevelType w:val="hybridMultilevel"/>
    <w:tmpl w:val="E0BAE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B21F45"/>
    <w:multiLevelType w:val="multilevel"/>
    <w:tmpl w:val="940E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C24EB7"/>
    <w:multiLevelType w:val="multilevel"/>
    <w:tmpl w:val="FDC0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011BB4"/>
    <w:multiLevelType w:val="multilevel"/>
    <w:tmpl w:val="D9F66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172E34"/>
    <w:multiLevelType w:val="multilevel"/>
    <w:tmpl w:val="82BE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4F4FF9"/>
    <w:multiLevelType w:val="hybridMultilevel"/>
    <w:tmpl w:val="A67A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AF05DB"/>
    <w:multiLevelType w:val="multilevel"/>
    <w:tmpl w:val="990A7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021547"/>
    <w:multiLevelType w:val="hybridMultilevel"/>
    <w:tmpl w:val="42D43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E052A1"/>
    <w:multiLevelType w:val="hybridMultilevel"/>
    <w:tmpl w:val="520272A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3" w15:restartNumberingAfterBreak="0">
    <w:nsid w:val="6D006FCA"/>
    <w:multiLevelType w:val="multilevel"/>
    <w:tmpl w:val="DC2A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C02A62"/>
    <w:multiLevelType w:val="multilevel"/>
    <w:tmpl w:val="594E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EB1B03"/>
    <w:multiLevelType w:val="multilevel"/>
    <w:tmpl w:val="1658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08268E"/>
    <w:multiLevelType w:val="multilevel"/>
    <w:tmpl w:val="78E20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5949EB"/>
    <w:multiLevelType w:val="multilevel"/>
    <w:tmpl w:val="011CD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720DC5"/>
    <w:multiLevelType w:val="multilevel"/>
    <w:tmpl w:val="C080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1B6A28"/>
    <w:multiLevelType w:val="multilevel"/>
    <w:tmpl w:val="A00E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424186">
    <w:abstractNumId w:val="6"/>
  </w:num>
  <w:num w:numId="2" w16cid:durableId="725378942">
    <w:abstractNumId w:val="19"/>
  </w:num>
  <w:num w:numId="3" w16cid:durableId="1134106473">
    <w:abstractNumId w:val="32"/>
  </w:num>
  <w:num w:numId="4" w16cid:durableId="1501891324">
    <w:abstractNumId w:val="16"/>
  </w:num>
  <w:num w:numId="5" w16cid:durableId="804395301">
    <w:abstractNumId w:val="23"/>
  </w:num>
  <w:num w:numId="6" w16cid:durableId="1382173738">
    <w:abstractNumId w:val="4"/>
  </w:num>
  <w:num w:numId="7" w16cid:durableId="1973443886">
    <w:abstractNumId w:val="29"/>
  </w:num>
  <w:num w:numId="8" w16cid:durableId="1058045769">
    <w:abstractNumId w:val="21"/>
  </w:num>
  <w:num w:numId="9" w16cid:durableId="1089932200">
    <w:abstractNumId w:val="15"/>
  </w:num>
  <w:num w:numId="10" w16cid:durableId="448085812">
    <w:abstractNumId w:val="5"/>
  </w:num>
  <w:num w:numId="11" w16cid:durableId="1803184713">
    <w:abstractNumId w:val="31"/>
  </w:num>
  <w:num w:numId="12" w16cid:durableId="905147430">
    <w:abstractNumId w:val="25"/>
  </w:num>
  <w:num w:numId="13" w16cid:durableId="1948148044">
    <w:abstractNumId w:val="27"/>
  </w:num>
  <w:num w:numId="14" w16cid:durableId="471293092">
    <w:abstractNumId w:val="36"/>
  </w:num>
  <w:num w:numId="15" w16cid:durableId="957025172">
    <w:abstractNumId w:val="30"/>
  </w:num>
  <w:num w:numId="16" w16cid:durableId="1140347355">
    <w:abstractNumId w:val="26"/>
  </w:num>
  <w:num w:numId="17" w16cid:durableId="566959817">
    <w:abstractNumId w:val="20"/>
  </w:num>
  <w:num w:numId="18" w16cid:durableId="1618678737">
    <w:abstractNumId w:val="24"/>
  </w:num>
  <w:num w:numId="19" w16cid:durableId="1483741233">
    <w:abstractNumId w:val="38"/>
  </w:num>
  <w:num w:numId="20" w16cid:durableId="667514191">
    <w:abstractNumId w:val="3"/>
  </w:num>
  <w:num w:numId="21" w16cid:durableId="1496915541">
    <w:abstractNumId w:val="22"/>
  </w:num>
  <w:num w:numId="22" w16cid:durableId="1355962714">
    <w:abstractNumId w:val="33"/>
  </w:num>
  <w:num w:numId="23" w16cid:durableId="59183567">
    <w:abstractNumId w:val="2"/>
  </w:num>
  <w:num w:numId="24" w16cid:durableId="1639413185">
    <w:abstractNumId w:val="7"/>
  </w:num>
  <w:num w:numId="25" w16cid:durableId="1777677114">
    <w:abstractNumId w:val="18"/>
  </w:num>
  <w:num w:numId="26" w16cid:durableId="1252159892">
    <w:abstractNumId w:val="39"/>
  </w:num>
  <w:num w:numId="27" w16cid:durableId="753937933">
    <w:abstractNumId w:val="0"/>
  </w:num>
  <w:num w:numId="28" w16cid:durableId="194849653">
    <w:abstractNumId w:val="8"/>
  </w:num>
  <w:num w:numId="29" w16cid:durableId="1183738389">
    <w:abstractNumId w:val="37"/>
  </w:num>
  <w:num w:numId="30" w16cid:durableId="1249079095">
    <w:abstractNumId w:val="34"/>
  </w:num>
  <w:num w:numId="31" w16cid:durableId="1357802972">
    <w:abstractNumId w:val="28"/>
  </w:num>
  <w:num w:numId="32" w16cid:durableId="179706481">
    <w:abstractNumId w:val="12"/>
  </w:num>
  <w:num w:numId="33" w16cid:durableId="917984775">
    <w:abstractNumId w:val="14"/>
  </w:num>
  <w:num w:numId="34" w16cid:durableId="21053484">
    <w:abstractNumId w:val="35"/>
  </w:num>
  <w:num w:numId="35" w16cid:durableId="1974022501">
    <w:abstractNumId w:val="11"/>
  </w:num>
  <w:num w:numId="36" w16cid:durableId="506559690">
    <w:abstractNumId w:val="10"/>
  </w:num>
  <w:num w:numId="37" w16cid:durableId="200287670">
    <w:abstractNumId w:val="17"/>
  </w:num>
  <w:num w:numId="38" w16cid:durableId="1039428948">
    <w:abstractNumId w:val="9"/>
  </w:num>
  <w:num w:numId="39" w16cid:durableId="1774977077">
    <w:abstractNumId w:val="1"/>
  </w:num>
  <w:num w:numId="40" w16cid:durableId="189689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CF2"/>
    <w:rsid w:val="000049EE"/>
    <w:rsid w:val="00011ECF"/>
    <w:rsid w:val="0002343F"/>
    <w:rsid w:val="00023CF2"/>
    <w:rsid w:val="000268B2"/>
    <w:rsid w:val="00044214"/>
    <w:rsid w:val="000464B8"/>
    <w:rsid w:val="00061F5F"/>
    <w:rsid w:val="00064DCB"/>
    <w:rsid w:val="00072411"/>
    <w:rsid w:val="00074C2F"/>
    <w:rsid w:val="000874D5"/>
    <w:rsid w:val="00090FB9"/>
    <w:rsid w:val="000A70B6"/>
    <w:rsid w:val="000C0D39"/>
    <w:rsid w:val="000C188E"/>
    <w:rsid w:val="000C2411"/>
    <w:rsid w:val="000D5948"/>
    <w:rsid w:val="000E2958"/>
    <w:rsid w:val="000F0CF0"/>
    <w:rsid w:val="000F3815"/>
    <w:rsid w:val="00102E73"/>
    <w:rsid w:val="001041B9"/>
    <w:rsid w:val="001052F2"/>
    <w:rsid w:val="00111A23"/>
    <w:rsid w:val="0012282D"/>
    <w:rsid w:val="00147893"/>
    <w:rsid w:val="00157501"/>
    <w:rsid w:val="00166113"/>
    <w:rsid w:val="00175BB7"/>
    <w:rsid w:val="0018526D"/>
    <w:rsid w:val="001A2CD7"/>
    <w:rsid w:val="001A772E"/>
    <w:rsid w:val="001B455C"/>
    <w:rsid w:val="001B54EF"/>
    <w:rsid w:val="001B5D1E"/>
    <w:rsid w:val="001D304A"/>
    <w:rsid w:val="001D31F1"/>
    <w:rsid w:val="001F06C6"/>
    <w:rsid w:val="001F0C2F"/>
    <w:rsid w:val="00200154"/>
    <w:rsid w:val="002100E9"/>
    <w:rsid w:val="00211053"/>
    <w:rsid w:val="00212939"/>
    <w:rsid w:val="00213F34"/>
    <w:rsid w:val="00243818"/>
    <w:rsid w:val="00262B3C"/>
    <w:rsid w:val="002636DB"/>
    <w:rsid w:val="002656F2"/>
    <w:rsid w:val="00265C18"/>
    <w:rsid w:val="00272395"/>
    <w:rsid w:val="00283CAD"/>
    <w:rsid w:val="00284220"/>
    <w:rsid w:val="002A2E1B"/>
    <w:rsid w:val="002A4842"/>
    <w:rsid w:val="002A4FCE"/>
    <w:rsid w:val="002A7551"/>
    <w:rsid w:val="002B3768"/>
    <w:rsid w:val="002F375D"/>
    <w:rsid w:val="003030F1"/>
    <w:rsid w:val="0030605A"/>
    <w:rsid w:val="003264A1"/>
    <w:rsid w:val="00345571"/>
    <w:rsid w:val="0035264F"/>
    <w:rsid w:val="00382F0A"/>
    <w:rsid w:val="00383147"/>
    <w:rsid w:val="0039427B"/>
    <w:rsid w:val="003A233A"/>
    <w:rsid w:val="003B17A2"/>
    <w:rsid w:val="003B7E37"/>
    <w:rsid w:val="003C08FB"/>
    <w:rsid w:val="003C0983"/>
    <w:rsid w:val="003C14C5"/>
    <w:rsid w:val="003C6BC0"/>
    <w:rsid w:val="003D613E"/>
    <w:rsid w:val="003E1DE1"/>
    <w:rsid w:val="003F0007"/>
    <w:rsid w:val="003F2413"/>
    <w:rsid w:val="00416902"/>
    <w:rsid w:val="004211AD"/>
    <w:rsid w:val="004268E8"/>
    <w:rsid w:val="00435B54"/>
    <w:rsid w:val="004422A6"/>
    <w:rsid w:val="00460288"/>
    <w:rsid w:val="00471C28"/>
    <w:rsid w:val="004723FE"/>
    <w:rsid w:val="00477B09"/>
    <w:rsid w:val="00477F38"/>
    <w:rsid w:val="00485E11"/>
    <w:rsid w:val="00490D7F"/>
    <w:rsid w:val="00494E96"/>
    <w:rsid w:val="004A4C1E"/>
    <w:rsid w:val="004A6FC0"/>
    <w:rsid w:val="004B3740"/>
    <w:rsid w:val="004B5DDD"/>
    <w:rsid w:val="004C230E"/>
    <w:rsid w:val="004D0F8E"/>
    <w:rsid w:val="004E132B"/>
    <w:rsid w:val="004E32F9"/>
    <w:rsid w:val="004E4A39"/>
    <w:rsid w:val="004F68B5"/>
    <w:rsid w:val="0050452B"/>
    <w:rsid w:val="00516D90"/>
    <w:rsid w:val="00521DB9"/>
    <w:rsid w:val="00525E74"/>
    <w:rsid w:val="00533936"/>
    <w:rsid w:val="0053490E"/>
    <w:rsid w:val="00541377"/>
    <w:rsid w:val="00547C69"/>
    <w:rsid w:val="00560326"/>
    <w:rsid w:val="0056203E"/>
    <w:rsid w:val="0057150A"/>
    <w:rsid w:val="00596AFD"/>
    <w:rsid w:val="005B1D41"/>
    <w:rsid w:val="005B5655"/>
    <w:rsid w:val="005C0F73"/>
    <w:rsid w:val="005E5A24"/>
    <w:rsid w:val="005F2247"/>
    <w:rsid w:val="006054CF"/>
    <w:rsid w:val="00605CF3"/>
    <w:rsid w:val="00623CE5"/>
    <w:rsid w:val="00627B51"/>
    <w:rsid w:val="006343FD"/>
    <w:rsid w:val="00635D97"/>
    <w:rsid w:val="00636097"/>
    <w:rsid w:val="006406B4"/>
    <w:rsid w:val="006437AE"/>
    <w:rsid w:val="006459BE"/>
    <w:rsid w:val="00651647"/>
    <w:rsid w:val="00651B2A"/>
    <w:rsid w:val="00693C15"/>
    <w:rsid w:val="006A297A"/>
    <w:rsid w:val="006C3847"/>
    <w:rsid w:val="006C444E"/>
    <w:rsid w:val="006D2F7A"/>
    <w:rsid w:val="006D3B79"/>
    <w:rsid w:val="006D55BF"/>
    <w:rsid w:val="006D6B2B"/>
    <w:rsid w:val="006E53D1"/>
    <w:rsid w:val="006E5742"/>
    <w:rsid w:val="006E588C"/>
    <w:rsid w:val="006E7AD8"/>
    <w:rsid w:val="006F09D5"/>
    <w:rsid w:val="00710E20"/>
    <w:rsid w:val="00716AAF"/>
    <w:rsid w:val="00726076"/>
    <w:rsid w:val="007341C7"/>
    <w:rsid w:val="00745446"/>
    <w:rsid w:val="0075059B"/>
    <w:rsid w:val="007574FC"/>
    <w:rsid w:val="00760BF3"/>
    <w:rsid w:val="00760FE9"/>
    <w:rsid w:val="007666E3"/>
    <w:rsid w:val="007824F5"/>
    <w:rsid w:val="007833E2"/>
    <w:rsid w:val="007950AF"/>
    <w:rsid w:val="007A4007"/>
    <w:rsid w:val="007A4A89"/>
    <w:rsid w:val="007A73C2"/>
    <w:rsid w:val="007B1915"/>
    <w:rsid w:val="007B5023"/>
    <w:rsid w:val="007B6A23"/>
    <w:rsid w:val="007D1A49"/>
    <w:rsid w:val="007D24E3"/>
    <w:rsid w:val="007D5D02"/>
    <w:rsid w:val="007D6231"/>
    <w:rsid w:val="00810825"/>
    <w:rsid w:val="00817146"/>
    <w:rsid w:val="0082367D"/>
    <w:rsid w:val="00825304"/>
    <w:rsid w:val="00837F78"/>
    <w:rsid w:val="00851628"/>
    <w:rsid w:val="008607BF"/>
    <w:rsid w:val="00863A77"/>
    <w:rsid w:val="00864EBD"/>
    <w:rsid w:val="0086674C"/>
    <w:rsid w:val="008727EF"/>
    <w:rsid w:val="0087763E"/>
    <w:rsid w:val="008804A8"/>
    <w:rsid w:val="00886F14"/>
    <w:rsid w:val="00894537"/>
    <w:rsid w:val="008A0DED"/>
    <w:rsid w:val="008C5253"/>
    <w:rsid w:val="008C71B3"/>
    <w:rsid w:val="008D363D"/>
    <w:rsid w:val="008D6448"/>
    <w:rsid w:val="008E333E"/>
    <w:rsid w:val="008E6D2F"/>
    <w:rsid w:val="008F0DE4"/>
    <w:rsid w:val="008F1FB1"/>
    <w:rsid w:val="008F367E"/>
    <w:rsid w:val="008F3CEE"/>
    <w:rsid w:val="00917CA3"/>
    <w:rsid w:val="00940198"/>
    <w:rsid w:val="00953079"/>
    <w:rsid w:val="00953B54"/>
    <w:rsid w:val="00961182"/>
    <w:rsid w:val="00966188"/>
    <w:rsid w:val="009737BE"/>
    <w:rsid w:val="00977F73"/>
    <w:rsid w:val="00983E3C"/>
    <w:rsid w:val="00986C71"/>
    <w:rsid w:val="00991C8E"/>
    <w:rsid w:val="00995892"/>
    <w:rsid w:val="009968D8"/>
    <w:rsid w:val="009B2761"/>
    <w:rsid w:val="009D6CEA"/>
    <w:rsid w:val="009E3510"/>
    <w:rsid w:val="009F13EE"/>
    <w:rsid w:val="00A418E8"/>
    <w:rsid w:val="00A42EEF"/>
    <w:rsid w:val="00A641E5"/>
    <w:rsid w:val="00A81A04"/>
    <w:rsid w:val="00A83EBD"/>
    <w:rsid w:val="00A94206"/>
    <w:rsid w:val="00AA187F"/>
    <w:rsid w:val="00AA1A2A"/>
    <w:rsid w:val="00AB2516"/>
    <w:rsid w:val="00AB5D1D"/>
    <w:rsid w:val="00AC6150"/>
    <w:rsid w:val="00AC61C4"/>
    <w:rsid w:val="00AD3CD8"/>
    <w:rsid w:val="00AD7B8E"/>
    <w:rsid w:val="00AE3501"/>
    <w:rsid w:val="00AF2537"/>
    <w:rsid w:val="00AF4106"/>
    <w:rsid w:val="00B0065A"/>
    <w:rsid w:val="00B41D6A"/>
    <w:rsid w:val="00B42A78"/>
    <w:rsid w:val="00B52463"/>
    <w:rsid w:val="00B54101"/>
    <w:rsid w:val="00B651D2"/>
    <w:rsid w:val="00B91067"/>
    <w:rsid w:val="00BA018E"/>
    <w:rsid w:val="00BC5EE6"/>
    <w:rsid w:val="00BE4634"/>
    <w:rsid w:val="00BF20A2"/>
    <w:rsid w:val="00C0223D"/>
    <w:rsid w:val="00C02508"/>
    <w:rsid w:val="00C049CB"/>
    <w:rsid w:val="00C0723B"/>
    <w:rsid w:val="00C43346"/>
    <w:rsid w:val="00C44F6F"/>
    <w:rsid w:val="00C47A6A"/>
    <w:rsid w:val="00C54853"/>
    <w:rsid w:val="00C673C8"/>
    <w:rsid w:val="00C921D1"/>
    <w:rsid w:val="00CA7D76"/>
    <w:rsid w:val="00CC31D8"/>
    <w:rsid w:val="00CC7AEC"/>
    <w:rsid w:val="00CD2F5D"/>
    <w:rsid w:val="00CD2F63"/>
    <w:rsid w:val="00CD348A"/>
    <w:rsid w:val="00D036B1"/>
    <w:rsid w:val="00D17385"/>
    <w:rsid w:val="00D207AB"/>
    <w:rsid w:val="00D267D9"/>
    <w:rsid w:val="00D30E58"/>
    <w:rsid w:val="00D36945"/>
    <w:rsid w:val="00D405E6"/>
    <w:rsid w:val="00D4182B"/>
    <w:rsid w:val="00D429A1"/>
    <w:rsid w:val="00D51076"/>
    <w:rsid w:val="00D64343"/>
    <w:rsid w:val="00D725DA"/>
    <w:rsid w:val="00D870BB"/>
    <w:rsid w:val="00DA111B"/>
    <w:rsid w:val="00DA305F"/>
    <w:rsid w:val="00DA52C9"/>
    <w:rsid w:val="00DA79CD"/>
    <w:rsid w:val="00DB27CD"/>
    <w:rsid w:val="00DC0C11"/>
    <w:rsid w:val="00DD7084"/>
    <w:rsid w:val="00DE4BC7"/>
    <w:rsid w:val="00DE5765"/>
    <w:rsid w:val="00DF4421"/>
    <w:rsid w:val="00DF627D"/>
    <w:rsid w:val="00DF7685"/>
    <w:rsid w:val="00E0230A"/>
    <w:rsid w:val="00E03CB1"/>
    <w:rsid w:val="00E1493A"/>
    <w:rsid w:val="00E24140"/>
    <w:rsid w:val="00E41F66"/>
    <w:rsid w:val="00E5254D"/>
    <w:rsid w:val="00E542E0"/>
    <w:rsid w:val="00E60EEE"/>
    <w:rsid w:val="00E61855"/>
    <w:rsid w:val="00E632EE"/>
    <w:rsid w:val="00E64526"/>
    <w:rsid w:val="00E739A0"/>
    <w:rsid w:val="00E75E94"/>
    <w:rsid w:val="00E85576"/>
    <w:rsid w:val="00EA4358"/>
    <w:rsid w:val="00ED097E"/>
    <w:rsid w:val="00EE2564"/>
    <w:rsid w:val="00EF249E"/>
    <w:rsid w:val="00EF78DB"/>
    <w:rsid w:val="00F11A9C"/>
    <w:rsid w:val="00F13056"/>
    <w:rsid w:val="00F14080"/>
    <w:rsid w:val="00F23E2E"/>
    <w:rsid w:val="00F35382"/>
    <w:rsid w:val="00F428ED"/>
    <w:rsid w:val="00F450CF"/>
    <w:rsid w:val="00F53E76"/>
    <w:rsid w:val="00F55800"/>
    <w:rsid w:val="00F768FC"/>
    <w:rsid w:val="00F96004"/>
    <w:rsid w:val="00FA0EED"/>
    <w:rsid w:val="00FA1472"/>
    <w:rsid w:val="00FA1E13"/>
    <w:rsid w:val="00FA221B"/>
    <w:rsid w:val="00FA70E7"/>
    <w:rsid w:val="00FB0AF3"/>
    <w:rsid w:val="00FB194A"/>
    <w:rsid w:val="00FB21ED"/>
    <w:rsid w:val="00FC2793"/>
    <w:rsid w:val="00FC5AD6"/>
    <w:rsid w:val="00FE1CC9"/>
    <w:rsid w:val="00FE2646"/>
    <w:rsid w:val="00FE3502"/>
    <w:rsid w:val="00FF65FF"/>
    <w:rsid w:val="00FF699C"/>
    <w:rsid w:val="1F5D5E55"/>
    <w:rsid w:val="29BFB0AF"/>
    <w:rsid w:val="5966BCB1"/>
    <w:rsid w:val="6FB86C3C"/>
    <w:rsid w:val="7CB3A227"/>
    <w:rsid w:val="7E7A8A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01A4D"/>
  <w15:chartTrackingRefBased/>
  <w15:docId w15:val="{936AED95-1615-4DFB-9BE3-49317F43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CS Normal"/>
    <w:qFormat/>
    <w:rsid w:val="00837F78"/>
    <w:rPr>
      <w:rFonts w:ascii="Arial" w:hAnsi="Arial"/>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unhideWhenUsed/>
    <w:rsid w:val="00AC61C4"/>
    <w:pPr>
      <w:spacing w:after="120"/>
    </w:pPr>
  </w:style>
  <w:style w:type="character" w:customStyle="1" w:styleId="BodyTextChar">
    <w:name w:val="Body Text Char"/>
    <w:basedOn w:val="DefaultParagraphFont"/>
    <w:link w:val="BodyText"/>
    <w:uiPriority w:val="99"/>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3CF2"/>
    <w:pPr>
      <w:tabs>
        <w:tab w:val="center" w:pos="4513"/>
        <w:tab w:val="right" w:pos="9026"/>
      </w:tabs>
      <w:spacing w:line="240" w:lineRule="auto"/>
    </w:pPr>
  </w:style>
  <w:style w:type="character" w:customStyle="1" w:styleId="HeaderChar">
    <w:name w:val="Header Char"/>
    <w:basedOn w:val="DefaultParagraphFont"/>
    <w:link w:val="Header"/>
    <w:uiPriority w:val="99"/>
    <w:rsid w:val="00023CF2"/>
    <w:rPr>
      <w:rFonts w:ascii="Arial" w:hAnsi="Arial"/>
    </w:rPr>
  </w:style>
  <w:style w:type="paragraph" w:styleId="Footer">
    <w:name w:val="footer"/>
    <w:basedOn w:val="Normal"/>
    <w:link w:val="FooterChar"/>
    <w:uiPriority w:val="99"/>
    <w:unhideWhenUsed/>
    <w:rsid w:val="00023CF2"/>
    <w:pPr>
      <w:tabs>
        <w:tab w:val="center" w:pos="4513"/>
        <w:tab w:val="right" w:pos="9026"/>
      </w:tabs>
      <w:spacing w:line="240" w:lineRule="auto"/>
    </w:pPr>
  </w:style>
  <w:style w:type="character" w:customStyle="1" w:styleId="FooterChar">
    <w:name w:val="Footer Char"/>
    <w:basedOn w:val="DefaultParagraphFont"/>
    <w:link w:val="Footer"/>
    <w:uiPriority w:val="99"/>
    <w:rsid w:val="00023CF2"/>
    <w:rPr>
      <w:rFonts w:ascii="Arial" w:hAnsi="Arial"/>
    </w:rPr>
  </w:style>
  <w:style w:type="paragraph" w:styleId="ListParagraph">
    <w:name w:val="List Paragraph"/>
    <w:basedOn w:val="Normal"/>
    <w:uiPriority w:val="34"/>
    <w:rsid w:val="0053490E"/>
    <w:pPr>
      <w:ind w:left="720"/>
      <w:contextualSpacing/>
    </w:pPr>
  </w:style>
  <w:style w:type="paragraph" w:styleId="NormalWeb">
    <w:name w:val="Normal (Web)"/>
    <w:basedOn w:val="Normal"/>
    <w:uiPriority w:val="99"/>
    <w:semiHidden/>
    <w:unhideWhenUsed/>
    <w:rsid w:val="00C47A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unhideWhenUsed/>
    <w:rsid w:val="00AD7B8E"/>
    <w:pPr>
      <w:spacing w:line="240" w:lineRule="auto"/>
    </w:pPr>
    <w:rPr>
      <w:sz w:val="20"/>
      <w:szCs w:val="20"/>
    </w:rPr>
  </w:style>
  <w:style w:type="character" w:customStyle="1" w:styleId="CommentTextChar">
    <w:name w:val="Comment Text Char"/>
    <w:basedOn w:val="DefaultParagraphFont"/>
    <w:link w:val="CommentText"/>
    <w:uiPriority w:val="99"/>
    <w:rsid w:val="00AD7B8E"/>
    <w:rPr>
      <w:rFonts w:ascii="Arial" w:hAnsi="Arial"/>
      <w:sz w:val="20"/>
      <w:szCs w:val="20"/>
    </w:rPr>
  </w:style>
  <w:style w:type="character" w:styleId="CommentReference">
    <w:name w:val="annotation reference"/>
    <w:basedOn w:val="DefaultParagraphFont"/>
    <w:uiPriority w:val="99"/>
    <w:semiHidden/>
    <w:unhideWhenUsed/>
    <w:rsid w:val="00AD7B8E"/>
    <w:rPr>
      <w:sz w:val="16"/>
      <w:szCs w:val="16"/>
    </w:rPr>
  </w:style>
  <w:style w:type="paragraph" w:styleId="CommentSubject">
    <w:name w:val="annotation subject"/>
    <w:basedOn w:val="CommentText"/>
    <w:next w:val="CommentText"/>
    <w:link w:val="CommentSubjectChar"/>
    <w:uiPriority w:val="99"/>
    <w:semiHidden/>
    <w:unhideWhenUsed/>
    <w:rsid w:val="004B5DDD"/>
    <w:rPr>
      <w:b/>
      <w:bCs/>
    </w:rPr>
  </w:style>
  <w:style w:type="character" w:customStyle="1" w:styleId="CommentSubjectChar">
    <w:name w:val="Comment Subject Char"/>
    <w:basedOn w:val="CommentTextChar"/>
    <w:link w:val="CommentSubject"/>
    <w:uiPriority w:val="99"/>
    <w:semiHidden/>
    <w:rsid w:val="004B5DDD"/>
    <w:rPr>
      <w:rFonts w:ascii="Arial" w:hAnsi="Arial"/>
      <w:b/>
      <w:bCs/>
      <w:sz w:val="20"/>
      <w:szCs w:val="20"/>
    </w:rPr>
  </w:style>
  <w:style w:type="character" w:styleId="Strong">
    <w:name w:val="Strong"/>
    <w:basedOn w:val="DefaultParagraphFont"/>
    <w:uiPriority w:val="22"/>
    <w:qFormat/>
    <w:rsid w:val="004B37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5411">
      <w:bodyDiv w:val="1"/>
      <w:marLeft w:val="0"/>
      <w:marRight w:val="0"/>
      <w:marTop w:val="0"/>
      <w:marBottom w:val="0"/>
      <w:divBdr>
        <w:top w:val="none" w:sz="0" w:space="0" w:color="auto"/>
        <w:left w:val="none" w:sz="0" w:space="0" w:color="auto"/>
        <w:bottom w:val="none" w:sz="0" w:space="0" w:color="auto"/>
        <w:right w:val="none" w:sz="0" w:space="0" w:color="auto"/>
      </w:divBdr>
    </w:div>
    <w:div w:id="29185696">
      <w:bodyDiv w:val="1"/>
      <w:marLeft w:val="0"/>
      <w:marRight w:val="0"/>
      <w:marTop w:val="0"/>
      <w:marBottom w:val="0"/>
      <w:divBdr>
        <w:top w:val="none" w:sz="0" w:space="0" w:color="auto"/>
        <w:left w:val="none" w:sz="0" w:space="0" w:color="auto"/>
        <w:bottom w:val="none" w:sz="0" w:space="0" w:color="auto"/>
        <w:right w:val="none" w:sz="0" w:space="0" w:color="auto"/>
      </w:divBdr>
    </w:div>
    <w:div w:id="443423109">
      <w:bodyDiv w:val="1"/>
      <w:marLeft w:val="0"/>
      <w:marRight w:val="0"/>
      <w:marTop w:val="0"/>
      <w:marBottom w:val="0"/>
      <w:divBdr>
        <w:top w:val="none" w:sz="0" w:space="0" w:color="auto"/>
        <w:left w:val="none" w:sz="0" w:space="0" w:color="auto"/>
        <w:bottom w:val="none" w:sz="0" w:space="0" w:color="auto"/>
        <w:right w:val="none" w:sz="0" w:space="0" w:color="auto"/>
      </w:divBdr>
    </w:div>
    <w:div w:id="807166288">
      <w:bodyDiv w:val="1"/>
      <w:marLeft w:val="0"/>
      <w:marRight w:val="0"/>
      <w:marTop w:val="0"/>
      <w:marBottom w:val="0"/>
      <w:divBdr>
        <w:top w:val="none" w:sz="0" w:space="0" w:color="auto"/>
        <w:left w:val="none" w:sz="0" w:space="0" w:color="auto"/>
        <w:bottom w:val="none" w:sz="0" w:space="0" w:color="auto"/>
        <w:right w:val="none" w:sz="0" w:space="0" w:color="auto"/>
      </w:divBdr>
    </w:div>
    <w:div w:id="901404112">
      <w:bodyDiv w:val="1"/>
      <w:marLeft w:val="0"/>
      <w:marRight w:val="0"/>
      <w:marTop w:val="0"/>
      <w:marBottom w:val="0"/>
      <w:divBdr>
        <w:top w:val="none" w:sz="0" w:space="0" w:color="auto"/>
        <w:left w:val="none" w:sz="0" w:space="0" w:color="auto"/>
        <w:bottom w:val="none" w:sz="0" w:space="0" w:color="auto"/>
        <w:right w:val="none" w:sz="0" w:space="0" w:color="auto"/>
      </w:divBdr>
    </w:div>
    <w:div w:id="981083224">
      <w:bodyDiv w:val="1"/>
      <w:marLeft w:val="0"/>
      <w:marRight w:val="0"/>
      <w:marTop w:val="0"/>
      <w:marBottom w:val="0"/>
      <w:divBdr>
        <w:top w:val="none" w:sz="0" w:space="0" w:color="auto"/>
        <w:left w:val="none" w:sz="0" w:space="0" w:color="auto"/>
        <w:bottom w:val="none" w:sz="0" w:space="0" w:color="auto"/>
        <w:right w:val="none" w:sz="0" w:space="0" w:color="auto"/>
      </w:divBdr>
    </w:div>
    <w:div w:id="1061441474">
      <w:bodyDiv w:val="1"/>
      <w:marLeft w:val="0"/>
      <w:marRight w:val="0"/>
      <w:marTop w:val="0"/>
      <w:marBottom w:val="0"/>
      <w:divBdr>
        <w:top w:val="none" w:sz="0" w:space="0" w:color="auto"/>
        <w:left w:val="none" w:sz="0" w:space="0" w:color="auto"/>
        <w:bottom w:val="none" w:sz="0" w:space="0" w:color="auto"/>
        <w:right w:val="none" w:sz="0" w:space="0" w:color="auto"/>
      </w:divBdr>
    </w:div>
    <w:div w:id="1383554562">
      <w:bodyDiv w:val="1"/>
      <w:marLeft w:val="0"/>
      <w:marRight w:val="0"/>
      <w:marTop w:val="0"/>
      <w:marBottom w:val="0"/>
      <w:divBdr>
        <w:top w:val="none" w:sz="0" w:space="0" w:color="auto"/>
        <w:left w:val="none" w:sz="0" w:space="0" w:color="auto"/>
        <w:bottom w:val="none" w:sz="0" w:space="0" w:color="auto"/>
        <w:right w:val="none" w:sz="0" w:space="0" w:color="auto"/>
      </w:divBdr>
    </w:div>
    <w:div w:id="1391073868">
      <w:bodyDiv w:val="1"/>
      <w:marLeft w:val="0"/>
      <w:marRight w:val="0"/>
      <w:marTop w:val="0"/>
      <w:marBottom w:val="0"/>
      <w:divBdr>
        <w:top w:val="none" w:sz="0" w:space="0" w:color="auto"/>
        <w:left w:val="none" w:sz="0" w:space="0" w:color="auto"/>
        <w:bottom w:val="none" w:sz="0" w:space="0" w:color="auto"/>
        <w:right w:val="none" w:sz="0" w:space="0" w:color="auto"/>
      </w:divBdr>
    </w:div>
    <w:div w:id="1743984380">
      <w:bodyDiv w:val="1"/>
      <w:marLeft w:val="0"/>
      <w:marRight w:val="0"/>
      <w:marTop w:val="0"/>
      <w:marBottom w:val="0"/>
      <w:divBdr>
        <w:top w:val="none" w:sz="0" w:space="0" w:color="auto"/>
        <w:left w:val="none" w:sz="0" w:space="0" w:color="auto"/>
        <w:bottom w:val="none" w:sz="0" w:space="0" w:color="auto"/>
        <w:right w:val="none" w:sz="0" w:space="0" w:color="auto"/>
      </w:divBdr>
    </w:div>
    <w:div w:id="1804737386">
      <w:bodyDiv w:val="1"/>
      <w:marLeft w:val="0"/>
      <w:marRight w:val="0"/>
      <w:marTop w:val="0"/>
      <w:marBottom w:val="0"/>
      <w:divBdr>
        <w:top w:val="none" w:sz="0" w:space="0" w:color="auto"/>
        <w:left w:val="none" w:sz="0" w:space="0" w:color="auto"/>
        <w:bottom w:val="none" w:sz="0" w:space="0" w:color="auto"/>
        <w:right w:val="none" w:sz="0" w:space="0" w:color="auto"/>
      </w:divBdr>
    </w:div>
    <w:div w:id="1824080785">
      <w:bodyDiv w:val="1"/>
      <w:marLeft w:val="0"/>
      <w:marRight w:val="0"/>
      <w:marTop w:val="0"/>
      <w:marBottom w:val="0"/>
      <w:divBdr>
        <w:top w:val="none" w:sz="0" w:space="0" w:color="auto"/>
        <w:left w:val="none" w:sz="0" w:space="0" w:color="auto"/>
        <w:bottom w:val="none" w:sz="0" w:space="0" w:color="auto"/>
        <w:right w:val="none" w:sz="0" w:space="0" w:color="auto"/>
      </w:divBdr>
    </w:div>
    <w:div w:id="1948534674">
      <w:bodyDiv w:val="1"/>
      <w:marLeft w:val="0"/>
      <w:marRight w:val="0"/>
      <w:marTop w:val="0"/>
      <w:marBottom w:val="0"/>
      <w:divBdr>
        <w:top w:val="none" w:sz="0" w:space="0" w:color="auto"/>
        <w:left w:val="none" w:sz="0" w:space="0" w:color="auto"/>
        <w:bottom w:val="none" w:sz="0" w:space="0" w:color="auto"/>
        <w:right w:val="none" w:sz="0" w:space="0" w:color="auto"/>
      </w:divBdr>
    </w:div>
    <w:div w:id="2034381105">
      <w:bodyDiv w:val="1"/>
      <w:marLeft w:val="0"/>
      <w:marRight w:val="0"/>
      <w:marTop w:val="0"/>
      <w:marBottom w:val="0"/>
      <w:divBdr>
        <w:top w:val="none" w:sz="0" w:space="0" w:color="auto"/>
        <w:left w:val="none" w:sz="0" w:space="0" w:color="auto"/>
        <w:bottom w:val="none" w:sz="0" w:space="0" w:color="auto"/>
        <w:right w:val="none" w:sz="0" w:space="0" w:color="auto"/>
      </w:divBdr>
    </w:div>
    <w:div w:id="204262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5CA1D-D35C-422B-8C42-31FE73C82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6928</TotalTime>
  <Pages>5</Pages>
  <Words>1263</Words>
  <Characters>7964</Characters>
  <Application>Microsoft Office Word</Application>
  <DocSecurity>0</DocSecurity>
  <Lines>241</Lines>
  <Paragraphs>102</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Shaw</dc:creator>
  <cp:keywords/>
  <dc:description/>
  <cp:lastModifiedBy>Claudia Krebs</cp:lastModifiedBy>
  <cp:revision>173</cp:revision>
  <dcterms:created xsi:type="dcterms:W3CDTF">2025-01-27T22:55:00Z</dcterms:created>
  <dcterms:modified xsi:type="dcterms:W3CDTF">2026-04-24T14:14:00Z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5a74965e732dc0ab979d56ce47bd9e1904da851ec9fea8b3d4fefe9a7a272e31</vt:lpwstr>
  </property>
</Properties>
</file>